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B084E" w14:textId="77777777" w:rsidR="00BC13CC" w:rsidRDefault="00BC13CC"/>
    <w:p w14:paraId="36706F0B" w14:textId="77777777" w:rsidR="00BC13CC" w:rsidRDefault="00BC13CC"/>
    <w:p w14:paraId="27B32B59" w14:textId="77777777" w:rsidR="00BC13CC" w:rsidRDefault="00BC13CC"/>
    <w:p w14:paraId="59EF8D06" w14:textId="77777777" w:rsidR="00BC13CC" w:rsidRDefault="00BC13CC"/>
    <w:p w14:paraId="29E493E5" w14:textId="77777777" w:rsidR="00B1568E" w:rsidRDefault="00B1568E" w:rsidP="00FA1066">
      <w:pPr>
        <w:pStyle w:val="Heading1"/>
      </w:pPr>
      <w:bookmarkStart w:id="0" w:name="_Hlk198862430"/>
    </w:p>
    <w:p w14:paraId="089365BE" w14:textId="76B57208" w:rsidR="00FA1066" w:rsidRDefault="00DA1A64" w:rsidP="00FA1066">
      <w:pPr>
        <w:pStyle w:val="Heading1"/>
      </w:pPr>
      <w:r>
        <w:t xml:space="preserve">A </w:t>
      </w:r>
      <w:r w:rsidR="00603190">
        <w:t>Descriptive</w:t>
      </w:r>
      <w:r>
        <w:t xml:space="preserve"> Review of </w:t>
      </w:r>
      <w:r w:rsidR="00280CF7">
        <w:t xml:space="preserve">Professional Development Supporting </w:t>
      </w:r>
      <w:r w:rsidR="00036ECD">
        <w:t xml:space="preserve">Special Education Teacher </w:t>
      </w:r>
      <w:r w:rsidR="00280CF7">
        <w:t>Technology Integration</w:t>
      </w:r>
    </w:p>
    <w:p w14:paraId="7AD2EA4F" w14:textId="77777777" w:rsidR="00FA1066" w:rsidRDefault="00FA1066" w:rsidP="00FA1066"/>
    <w:p w14:paraId="4841646B" w14:textId="77777777" w:rsidR="00FA1066" w:rsidRDefault="00FA1066" w:rsidP="00CB703D">
      <w:pPr>
        <w:spacing w:line="480" w:lineRule="auto"/>
        <w:jc w:val="center"/>
      </w:pPr>
      <w:r>
        <w:t>Louis A. Justman</w:t>
      </w:r>
    </w:p>
    <w:p w14:paraId="470A217A" w14:textId="03D1EE86" w:rsidR="00EC5138" w:rsidRDefault="00EC5138" w:rsidP="00EC5138">
      <w:pPr>
        <w:spacing w:line="480" w:lineRule="auto"/>
        <w:jc w:val="center"/>
      </w:pPr>
      <w:r>
        <w:t>Department of Special Education, The University of Kansas</w:t>
      </w:r>
    </w:p>
    <w:p w14:paraId="037C18A7" w14:textId="07C306F6" w:rsidR="00EC5138" w:rsidRDefault="00EC5138" w:rsidP="00CB703D">
      <w:pPr>
        <w:spacing w:line="480" w:lineRule="auto"/>
        <w:jc w:val="center"/>
      </w:pPr>
      <w:r>
        <w:t>August 1, 2025</w:t>
      </w:r>
    </w:p>
    <w:p w14:paraId="5A582BD8" w14:textId="77777777" w:rsidR="00316465" w:rsidRDefault="00316465" w:rsidP="00FA1066">
      <w:pPr>
        <w:jc w:val="center"/>
      </w:pPr>
    </w:p>
    <w:p w14:paraId="248459D7" w14:textId="77777777" w:rsidR="00C26EE8" w:rsidRDefault="00C26EE8" w:rsidP="00FA1066">
      <w:pPr>
        <w:jc w:val="center"/>
      </w:pPr>
    </w:p>
    <w:p w14:paraId="736A66F2" w14:textId="77777777" w:rsidR="00C26EE8" w:rsidRDefault="00C26EE8" w:rsidP="00FA1066">
      <w:pPr>
        <w:jc w:val="center"/>
      </w:pPr>
    </w:p>
    <w:p w14:paraId="10A52922" w14:textId="77777777" w:rsidR="00C26EE8" w:rsidRDefault="00C26EE8" w:rsidP="00FA1066">
      <w:pPr>
        <w:jc w:val="center"/>
      </w:pPr>
    </w:p>
    <w:p w14:paraId="2DDF995E" w14:textId="77777777" w:rsidR="00C26EE8" w:rsidRDefault="00C26EE8" w:rsidP="00FA1066">
      <w:pPr>
        <w:jc w:val="center"/>
      </w:pPr>
    </w:p>
    <w:p w14:paraId="328994A0" w14:textId="77777777" w:rsidR="00C26EE8" w:rsidRDefault="00C26EE8" w:rsidP="00FA1066">
      <w:pPr>
        <w:jc w:val="center"/>
      </w:pPr>
    </w:p>
    <w:p w14:paraId="736F1410" w14:textId="77777777" w:rsidR="00C26EE8" w:rsidRDefault="00C26EE8" w:rsidP="00FA1066">
      <w:pPr>
        <w:jc w:val="center"/>
      </w:pPr>
    </w:p>
    <w:p w14:paraId="46E702AB" w14:textId="77777777" w:rsidR="00C26EE8" w:rsidRDefault="00C26EE8" w:rsidP="00FA1066">
      <w:pPr>
        <w:jc w:val="center"/>
      </w:pPr>
    </w:p>
    <w:p w14:paraId="63FF15E8" w14:textId="77777777" w:rsidR="00C26EE8" w:rsidRDefault="00C26EE8" w:rsidP="00FA1066">
      <w:pPr>
        <w:jc w:val="center"/>
      </w:pPr>
    </w:p>
    <w:p w14:paraId="12AABF9C" w14:textId="77777777" w:rsidR="00C26EE8" w:rsidRDefault="00C26EE8" w:rsidP="00FA1066">
      <w:pPr>
        <w:jc w:val="center"/>
      </w:pPr>
    </w:p>
    <w:p w14:paraId="0D54FAA8" w14:textId="77777777" w:rsidR="00C26EE8" w:rsidRDefault="00C26EE8" w:rsidP="00FA1066">
      <w:pPr>
        <w:jc w:val="center"/>
      </w:pPr>
    </w:p>
    <w:p w14:paraId="52C30782" w14:textId="77777777" w:rsidR="00C26EE8" w:rsidRDefault="00C26EE8" w:rsidP="00FA1066">
      <w:pPr>
        <w:jc w:val="center"/>
      </w:pPr>
    </w:p>
    <w:p w14:paraId="73E59044" w14:textId="0519C840" w:rsidR="00C26EE8" w:rsidRDefault="00C26EE8" w:rsidP="00FA1066">
      <w:pPr>
        <w:jc w:val="center"/>
      </w:pPr>
    </w:p>
    <w:p w14:paraId="4BAEB2E5" w14:textId="45EC2818" w:rsidR="00C26EE8" w:rsidRDefault="00C26EE8" w:rsidP="00F56A2C"/>
    <w:p w14:paraId="2F5D031F" w14:textId="25EC2CC3" w:rsidR="00C26EE8" w:rsidRDefault="00C26EE8" w:rsidP="00FA1066">
      <w:pPr>
        <w:jc w:val="center"/>
      </w:pPr>
    </w:p>
    <w:p w14:paraId="29A1898C" w14:textId="730AF0AF" w:rsidR="00316465" w:rsidRDefault="00316465" w:rsidP="00C26EE8">
      <w:pPr>
        <w:pStyle w:val="Heading1"/>
      </w:pPr>
      <w:r>
        <w:t xml:space="preserve">Author Note </w:t>
      </w:r>
    </w:p>
    <w:p w14:paraId="159D8C7D" w14:textId="4D5C6E18" w:rsidR="00157BE2" w:rsidRDefault="00157BE2" w:rsidP="00F56A2C">
      <w:pPr>
        <w:spacing w:line="480" w:lineRule="auto"/>
        <w:ind w:firstLine="720"/>
      </w:pPr>
      <w:r>
        <w:t>Louis A. Justman</w:t>
      </w:r>
      <w:r w:rsidR="00525486">
        <w:t xml:space="preserve"> </w:t>
      </w:r>
      <w:r w:rsidR="00525486">
        <w:fldChar w:fldCharType="begin"/>
      </w:r>
      <w:r w:rsidR="00525486">
        <w:instrText xml:space="preserve"> INCLUDEPICTURE "https://upload.wikimedia.org/wikipedia/commons/thumb/0/06/ORCID_iD.svg/2048px-ORCID_iD.svg.png" \* MERGEFORMATINET </w:instrText>
      </w:r>
      <w:r w:rsidR="00525486">
        <w:fldChar w:fldCharType="separate"/>
      </w:r>
      <w:r w:rsidR="00525486">
        <w:rPr>
          <w:noProof/>
        </w:rPr>
        <w:drawing>
          <wp:inline distT="0" distB="0" distL="0" distR="0" wp14:anchorId="66D66D8A" wp14:editId="04B13D53">
            <wp:extent cx="182880" cy="182880"/>
            <wp:effectExtent l="0" t="0" r="0" b="0"/>
            <wp:docPr id="441488779" name="Picture 5" descr="A green circle with whit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488779" name="Picture 5" descr="A green circle with white letter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00525486">
        <w:fldChar w:fldCharType="end"/>
      </w:r>
      <w:r w:rsidR="00525486">
        <w:t xml:space="preserve"> </w:t>
      </w:r>
      <w:r>
        <w:t>https://orcid.org/0009-0005-3122-1804</w:t>
      </w:r>
    </w:p>
    <w:p w14:paraId="2BE4A5EF" w14:textId="77777777" w:rsidR="00F56A2C" w:rsidRDefault="00157BE2" w:rsidP="00F56A2C">
      <w:pPr>
        <w:spacing w:line="480" w:lineRule="auto"/>
        <w:ind w:firstLine="720"/>
      </w:pPr>
      <w:r>
        <w:t xml:space="preserve">I have no potential conflict of interest to disclose. </w:t>
      </w:r>
    </w:p>
    <w:p w14:paraId="78B39EFA" w14:textId="6A0A657F" w:rsidR="005F12A5" w:rsidRDefault="00157BE2" w:rsidP="00F56A2C">
      <w:pPr>
        <w:spacing w:line="480" w:lineRule="auto"/>
        <w:ind w:firstLine="720"/>
      </w:pPr>
      <w:r>
        <w:t>Correspondence concerning this statement should be addressed to Louis A. Justman, Department of Special Education, University of Kansas, Joseph R. Pearson Hall, Rm. 545, 1122 West Campus Rd., Lawrence, KS 66045-3101, United States. Email: louisjustman@ku.edu.</w:t>
      </w:r>
      <w:r w:rsidR="005F12A5">
        <w:br w:type="page"/>
      </w:r>
    </w:p>
    <w:bookmarkEnd w:id="0"/>
    <w:p w14:paraId="36622AAD" w14:textId="1429409C" w:rsidR="004624D1" w:rsidRPr="004624D1" w:rsidRDefault="00EE10B6" w:rsidP="00716368">
      <w:pPr>
        <w:pStyle w:val="Heading1"/>
      </w:pPr>
      <w:r>
        <w:lastRenderedPageBreak/>
        <w:t>A Descriptive Review of Professional Development Supporting Special Education Teacher Technology Integration</w:t>
      </w:r>
    </w:p>
    <w:p w14:paraId="57CF50F1" w14:textId="2163F1FD" w:rsidR="004624D1" w:rsidRDefault="004624D1" w:rsidP="00A23666">
      <w:pPr>
        <w:tabs>
          <w:tab w:val="left" w:pos="1440"/>
          <w:tab w:val="left" w:pos="2160"/>
          <w:tab w:val="left" w:pos="2880"/>
        </w:tabs>
        <w:spacing w:line="480" w:lineRule="auto"/>
        <w:ind w:firstLine="720"/>
        <w:rPr>
          <w:color w:val="141516"/>
          <w:lang w:val="en-US"/>
        </w:rPr>
      </w:pPr>
      <w:bookmarkStart w:id="1" w:name="_Hlk204959442"/>
      <w:r w:rsidRPr="004624D1">
        <w:rPr>
          <w:color w:val="141516"/>
          <w:lang w:val="en-US"/>
        </w:rPr>
        <w:t xml:space="preserve">The central problem addressed in this review is the persistent gap between the widespread availability of </w:t>
      </w:r>
      <w:r>
        <w:rPr>
          <w:color w:val="141516"/>
          <w:lang w:val="en-US"/>
        </w:rPr>
        <w:t xml:space="preserve">mainstream </w:t>
      </w:r>
      <w:r w:rsidRPr="004624D1">
        <w:rPr>
          <w:color w:val="141516"/>
          <w:lang w:val="en-US"/>
        </w:rPr>
        <w:t>educational technologies (ET)</w:t>
      </w:r>
      <w:r>
        <w:rPr>
          <w:color w:val="141516"/>
          <w:lang w:val="en-US"/>
        </w:rPr>
        <w:t xml:space="preserve"> </w:t>
      </w:r>
      <w:r w:rsidRPr="004624D1">
        <w:rPr>
          <w:color w:val="141516"/>
          <w:lang w:val="en-US"/>
        </w:rPr>
        <w:t xml:space="preserve">and the limited capacity of special educators to effectively integrate these technologies into daily classroom </w:t>
      </w:r>
      <w:r>
        <w:rPr>
          <w:color w:val="141516"/>
          <w:lang w:val="en-US"/>
        </w:rPr>
        <w:t>instruction</w:t>
      </w:r>
      <w:r w:rsidRPr="004624D1">
        <w:rPr>
          <w:color w:val="141516"/>
          <w:lang w:val="en-US"/>
        </w:rPr>
        <w:t xml:space="preserve">. </w:t>
      </w:r>
      <w:r>
        <w:rPr>
          <w:color w:val="141516"/>
          <w:lang w:val="en-US"/>
        </w:rPr>
        <w:t>We will outline available</w:t>
      </w:r>
      <w:r w:rsidRPr="004624D1">
        <w:rPr>
          <w:color w:val="141516"/>
          <w:lang w:val="en-US"/>
        </w:rPr>
        <w:t xml:space="preserve"> </w:t>
      </w:r>
      <w:r>
        <w:rPr>
          <w:color w:val="141516"/>
          <w:lang w:val="en-US"/>
        </w:rPr>
        <w:t xml:space="preserve">ET that can </w:t>
      </w:r>
      <w:r w:rsidRPr="004624D1">
        <w:rPr>
          <w:color w:val="141516"/>
          <w:lang w:val="en-US"/>
        </w:rPr>
        <w:t xml:space="preserve">enhance learning outcomes for students with </w:t>
      </w:r>
      <w:r w:rsidR="00716368" w:rsidRPr="004624D1">
        <w:rPr>
          <w:color w:val="141516"/>
          <w:lang w:val="en-US"/>
        </w:rPr>
        <w:t>disabilities and</w:t>
      </w:r>
      <w:r>
        <w:rPr>
          <w:color w:val="141516"/>
          <w:lang w:val="en-US"/>
        </w:rPr>
        <w:t xml:space="preserve"> examine how </w:t>
      </w:r>
      <w:r w:rsidRPr="004624D1">
        <w:rPr>
          <w:color w:val="141516"/>
          <w:lang w:val="en-US"/>
        </w:rPr>
        <w:t xml:space="preserve">professional </w:t>
      </w:r>
      <w:bookmarkStart w:id="2" w:name="_Hlk204959440"/>
      <w:r w:rsidRPr="004624D1">
        <w:rPr>
          <w:color w:val="141516"/>
          <w:lang w:val="en-US"/>
        </w:rPr>
        <w:t xml:space="preserve">development </w:t>
      </w:r>
      <w:bookmarkEnd w:id="2"/>
      <w:r w:rsidRPr="004624D1">
        <w:rPr>
          <w:color w:val="141516"/>
          <w:lang w:val="en-US"/>
        </w:rPr>
        <w:t>(PD)</w:t>
      </w:r>
      <w:r>
        <w:rPr>
          <w:color w:val="141516"/>
          <w:lang w:val="en-US"/>
        </w:rPr>
        <w:t xml:space="preserve"> is offered as a</w:t>
      </w:r>
      <w:r w:rsidRPr="004624D1">
        <w:rPr>
          <w:color w:val="141516"/>
          <w:lang w:val="en-US"/>
        </w:rPr>
        <w:t xml:space="preserve"> support</w:t>
      </w:r>
      <w:r w:rsidR="00AF77A0">
        <w:rPr>
          <w:color w:val="141516"/>
          <w:lang w:val="en-US"/>
        </w:rPr>
        <w:t xml:space="preserve">. We </w:t>
      </w:r>
      <w:r>
        <w:rPr>
          <w:color w:val="141516"/>
          <w:lang w:val="en-US"/>
        </w:rPr>
        <w:t>attempt to find</w:t>
      </w:r>
      <w:r w:rsidRPr="004624D1">
        <w:rPr>
          <w:color w:val="141516"/>
          <w:lang w:val="en-US"/>
        </w:rPr>
        <w:t xml:space="preserve"> meaningful</w:t>
      </w:r>
      <w:r>
        <w:rPr>
          <w:color w:val="141516"/>
          <w:lang w:val="en-US"/>
        </w:rPr>
        <w:t xml:space="preserve"> patterns of success and gap areas </w:t>
      </w:r>
      <w:r w:rsidR="00AF77A0">
        <w:rPr>
          <w:color w:val="141516"/>
          <w:lang w:val="en-US"/>
        </w:rPr>
        <w:t>to improve future research into effective PD to enhance techno</w:t>
      </w:r>
      <w:r w:rsidR="00716368">
        <w:rPr>
          <w:color w:val="141516"/>
          <w:lang w:val="en-US"/>
        </w:rPr>
        <w:t>lo</w:t>
      </w:r>
      <w:r w:rsidR="00AF77A0">
        <w:rPr>
          <w:color w:val="141516"/>
          <w:lang w:val="en-US"/>
        </w:rPr>
        <w:t>gy implementation for educators of students with disabilities in the future.</w:t>
      </w:r>
    </w:p>
    <w:bookmarkEnd w:id="1"/>
    <w:p w14:paraId="73632250" w14:textId="77777777" w:rsidR="00716368" w:rsidRDefault="00A23666" w:rsidP="009E6566">
      <w:pPr>
        <w:tabs>
          <w:tab w:val="left" w:pos="1440"/>
          <w:tab w:val="left" w:pos="2160"/>
          <w:tab w:val="left" w:pos="2880"/>
        </w:tabs>
        <w:spacing w:line="480" w:lineRule="auto"/>
        <w:ind w:firstLine="720"/>
        <w:rPr>
          <w:lang w:val="en-US"/>
        </w:rPr>
      </w:pPr>
      <w:r w:rsidRPr="009B686A">
        <w:rPr>
          <w:color w:val="141516"/>
          <w:lang w:val="en-US"/>
        </w:rPr>
        <w:t>Technology's capacity for delivering improved educational outcomes is a long-recognized concept predating the high-tech advancements of the 21</w:t>
      </w:r>
      <w:r w:rsidRPr="004344A6">
        <w:rPr>
          <w:color w:val="141516"/>
          <w:vertAlign w:val="superscript"/>
          <w:lang w:val="en-US"/>
        </w:rPr>
        <w:t>st</w:t>
      </w:r>
      <w:r w:rsidRPr="009B686A">
        <w:rPr>
          <w:color w:val="141516"/>
          <w:lang w:val="en-US"/>
        </w:rPr>
        <w:t xml:space="preserve"> century. In particular, the needs of students with disabilities (SWD) have legal grounds for educators to consider assistive technology</w:t>
      </w:r>
      <w:r w:rsidR="0023274E">
        <w:rPr>
          <w:color w:val="141516"/>
          <w:lang w:val="en-US"/>
        </w:rPr>
        <w:t xml:space="preserve"> </w:t>
      </w:r>
      <w:r w:rsidRPr="009B686A">
        <w:rPr>
          <w:color w:val="141516"/>
          <w:lang w:val="en-US"/>
        </w:rPr>
        <w:t xml:space="preserve">in the form of “any item, piece of equipment, or product system, whether acquired commercially off the shelf, modified, or customized … to increase, maintain, or improve functional capabilities of a child with a disability” </w:t>
      </w:r>
      <w:r w:rsidR="00A76A88">
        <w:rPr>
          <w:color w:val="141516"/>
          <w:lang w:val="en-US"/>
        </w:rPr>
        <w:fldChar w:fldCharType="begin"/>
      </w:r>
      <w:r w:rsidR="00F66308">
        <w:rPr>
          <w:color w:val="141516"/>
          <w:lang w:val="en-US"/>
        </w:rPr>
        <w:instrText xml:space="preserve"> ADDIN ZOTERO_ITEM CSL_CITATION {"citationID":"jlZcQjIA","properties":{"formattedCitation":"(Individuals with Disabilities Education Act, 1990)","plainCitation":"(Individuals with Disabilities Education Act, 1990)","noteIndex":0},"citationItems":[{"id":1861,"uris":["http://zotero.org/users/15409160/items/LMURIIHS"],"itemData":{"id":1861,"type":"legislation","title":"Individuals with Disabilities Education Act","author":[{"literal":"101st Congress"}],"issued":{"date-parts":[["1990"]],"season":"30"},"citation-key":"101stcongressIndividualsDisabilitiesEducation1990"}}],"schema":"https://github.com/citation-style-language/schema/raw/master/csl-citation.json"} </w:instrText>
      </w:r>
      <w:r w:rsidR="00A76A88">
        <w:rPr>
          <w:color w:val="141516"/>
          <w:lang w:val="en-US"/>
        </w:rPr>
        <w:fldChar w:fldCharType="separate"/>
      </w:r>
      <w:r w:rsidR="00F66308">
        <w:rPr>
          <w:noProof/>
          <w:color w:val="141516"/>
          <w:lang w:val="en-US"/>
        </w:rPr>
        <w:t>(Individuals with Disabilities Education Act, 1990)</w:t>
      </w:r>
      <w:r w:rsidR="00A76A88">
        <w:rPr>
          <w:color w:val="141516"/>
          <w:lang w:val="en-US"/>
        </w:rPr>
        <w:fldChar w:fldCharType="end"/>
      </w:r>
      <w:r w:rsidR="00F66308">
        <w:rPr>
          <w:lang w:val="en-US"/>
        </w:rPr>
        <w:t>.</w:t>
      </w:r>
      <w:r w:rsidRPr="009B686A">
        <w:rPr>
          <w:lang w:val="en-US"/>
        </w:rPr>
        <w:t xml:space="preserve"> </w:t>
      </w:r>
      <w:bookmarkStart w:id="3" w:name="_Hlk198813571"/>
      <w:r w:rsidRPr="009B686A">
        <w:rPr>
          <w:color w:val="141516"/>
          <w:lang w:val="en-US"/>
        </w:rPr>
        <w:t>Th</w:t>
      </w:r>
      <w:r w:rsidR="00716368">
        <w:rPr>
          <w:color w:val="141516"/>
          <w:lang w:val="en-US"/>
        </w:rPr>
        <w:t xml:space="preserve">e </w:t>
      </w:r>
      <w:r w:rsidRPr="009B686A">
        <w:rPr>
          <w:color w:val="141516"/>
          <w:lang w:val="en-US"/>
        </w:rPr>
        <w:t xml:space="preserve">federal definition, particularly its inclusion of commercially available and modified items, means that many tools considered </w:t>
      </w:r>
      <w:r w:rsidR="00D21DF9">
        <w:rPr>
          <w:color w:val="141516"/>
          <w:lang w:val="en-US"/>
        </w:rPr>
        <w:t>assistive technology</w:t>
      </w:r>
      <w:r w:rsidRPr="009B686A">
        <w:rPr>
          <w:color w:val="141516"/>
          <w:lang w:val="en-US"/>
        </w:rPr>
        <w:t xml:space="preserve"> also fall under the </w:t>
      </w:r>
      <w:r w:rsidR="004624D1">
        <w:rPr>
          <w:color w:val="141516"/>
          <w:lang w:val="en-US"/>
        </w:rPr>
        <w:t>broa</w:t>
      </w:r>
      <w:r w:rsidRPr="009B686A">
        <w:rPr>
          <w:color w:val="141516"/>
          <w:lang w:val="en-US"/>
        </w:rPr>
        <w:t xml:space="preserve">der umbrella of Educational Technology </w:t>
      </w:r>
      <w:r w:rsidR="000A1255">
        <w:rPr>
          <w:color w:val="141516"/>
          <w:lang w:val="en-US"/>
        </w:rPr>
        <w:fldChar w:fldCharType="begin"/>
      </w:r>
      <w:r w:rsidR="000938F5">
        <w:rPr>
          <w:color w:val="141516"/>
          <w:lang w:val="en-US"/>
        </w:rPr>
        <w:instrText xml:space="preserve"> ADDIN ZOTERO_ITEM CSL_CITATION {"citationID":"VlaZyO5E","properties":{"formattedCitation":"(ET; Edyburn, 2013)","plainCitation":"(ET; Edyburn, 2013)","noteIndex":0},"citationItems":[{"id":17623,"uris":["http://zotero.org/users/15409160/items/PRPZZKSF","http://zotero.org/users/15409160/items/9FTMUDJ5"],"itemData":{"id":17623,"type":"article-journal","abstract":"The field ofspecial education technology is devoted to a variety of activities that ultimately serve to augment, bypass, or compensate for a disability. Much like a kaleidoscope, perceptions ofthe field may be viewed through the reflection ofmultiple lenses. The three lenses of innovation: policy, and theory provide a mechanism for filtering, viewing, and using the special education technology research and practice knowledge base. This article examines characteristics ofthe emerging special education technology knowledge base when viewed through each ofthe three lenses. The intent is to provide readers with an analysis ofqualities found in the emerging special education knowledge base in order to highlight critical issues needed to advance the evidence base ofthe field through future research, theory, development, policy, andpractice.","container-title":"Exceptional Children","DOI":"10.1177/001440291308000107","ISSN":"0014-4029, 2163-5560","issue":"1","language":"en","license":"https://journals.sagepub.com/page/policies/text-and-data-mining-license","note":"publisher: SAGE Publications","page":"7-24","source":"Crossref","title":"Critical issues in advancing the special education technology evidence base","URL":"https://journals.sagepub.com/doi/10.1177/001440291308000107","volume":"80","author":[{"family":"Edyburn","given":"Dave L."}],"accessed":{"date-parts":[["2025",5,22]]},"issued":{"date-parts":[["2013",10]]},"citation-key":"edyburnCriticalIssuesAdvancing2013"},"prefix":"ET; "}],"schema":"https://github.com/citation-style-language/schema/raw/master/csl-citation.json"} </w:instrText>
      </w:r>
      <w:r w:rsidR="000A1255">
        <w:rPr>
          <w:color w:val="141516"/>
          <w:lang w:val="en-US"/>
        </w:rPr>
        <w:fldChar w:fldCharType="separate"/>
      </w:r>
      <w:r w:rsidR="008C59AB">
        <w:rPr>
          <w:noProof/>
          <w:color w:val="141516"/>
          <w:lang w:val="en-US"/>
        </w:rPr>
        <w:t>(ET; Edyburn, 2013)</w:t>
      </w:r>
      <w:r w:rsidR="000A1255">
        <w:rPr>
          <w:color w:val="141516"/>
          <w:lang w:val="en-US"/>
        </w:rPr>
        <w:fldChar w:fldCharType="end"/>
      </w:r>
      <w:r w:rsidRPr="009B686A">
        <w:rPr>
          <w:lang w:val="en-US"/>
        </w:rPr>
        <w:t xml:space="preserve">. </w:t>
      </w:r>
      <w:bookmarkEnd w:id="3"/>
    </w:p>
    <w:p w14:paraId="4CA91FE8" w14:textId="3A270296" w:rsidR="00716368" w:rsidRDefault="00716368" w:rsidP="00716368">
      <w:pPr>
        <w:pStyle w:val="Heading2"/>
        <w:rPr>
          <w:lang w:val="en-US"/>
        </w:rPr>
      </w:pPr>
      <w:r>
        <w:rPr>
          <w:lang w:val="en-US"/>
        </w:rPr>
        <w:t>Educational Technology</w:t>
      </w:r>
    </w:p>
    <w:p w14:paraId="086B547F" w14:textId="77777777" w:rsidR="00716368" w:rsidRDefault="00716368" w:rsidP="00A23666">
      <w:pPr>
        <w:tabs>
          <w:tab w:val="left" w:pos="1440"/>
          <w:tab w:val="left" w:pos="2160"/>
          <w:tab w:val="left" w:pos="2880"/>
        </w:tabs>
        <w:spacing w:line="480" w:lineRule="auto"/>
        <w:ind w:firstLine="720"/>
        <w:rPr>
          <w:color w:val="141516"/>
          <w:lang w:val="en-US"/>
        </w:rPr>
      </w:pPr>
      <w:r>
        <w:rPr>
          <w:color w:val="141516"/>
          <w:lang w:val="en-US"/>
        </w:rPr>
        <w:t>Educational Technology (</w:t>
      </w:r>
      <w:r w:rsidR="00A23666" w:rsidRPr="009B686A">
        <w:rPr>
          <w:color w:val="141516"/>
          <w:lang w:val="en-US"/>
        </w:rPr>
        <w:t>ET</w:t>
      </w:r>
      <w:r>
        <w:rPr>
          <w:color w:val="141516"/>
          <w:lang w:val="en-US"/>
        </w:rPr>
        <w:t>)</w:t>
      </w:r>
      <w:r w:rsidR="00A23666" w:rsidRPr="009B686A">
        <w:rPr>
          <w:color w:val="141516"/>
          <w:lang w:val="en-US"/>
        </w:rPr>
        <w:t xml:space="preserve"> encompasses physical tools (hardware) and digital resources (software) that enhance learning experiences and performance through intentional, systematic integration with the design, practice, and evaluation of learning </w:t>
      </w:r>
      <w:r w:rsidR="00BE5CF8">
        <w:rPr>
          <w:color w:val="141516"/>
          <w:lang w:val="en-US"/>
        </w:rPr>
        <w:fldChar w:fldCharType="begin"/>
      </w:r>
      <w:r w:rsidR="000938F5">
        <w:rPr>
          <w:color w:val="141516"/>
          <w:lang w:val="en-US"/>
        </w:rPr>
        <w:instrText xml:space="preserve"> ADDIN ZOTERO_ITEM CSL_CITATION {"citationID":"zapqzAdE","properties":{"formattedCitation":"(Association for Educational Communications and Technology, 2023; Januszewski &amp; Molenda, 2013; Moreno, 2022)","plainCitation":"(Association for Educational Communications and Technology, 2023; Januszewski &amp; Molenda, 2013; Moreno, 2022)","noteIndex":0},"citationItems":[{"id":17472,"uris":["http://zotero.org/users/15409160/items/J4PVUUU4"],"itemData":{"id":17472,"type":"webpage","title":"AECT definition","URL":"https://www.aect.org/aect/about/aect-definition","author":[{"literal":"Association for Educational Communications and Technology"}],"accessed":{"date-parts":[["2025",5,22]]},"issued":{"date-parts":[["2023"]]},"citation-key":"associationforeducationalcommunicationsandtechnologyAECTDefinition2023"}},{"id":17469,"uris":["http://zotero.org/users/15409160/items/B9PM5ZH9"],"itemData":{"id":17469,"type":"book","abstract":"Sponsored by the Association for Educational Communications and Technology (AECT), this book presents a definition of the field of study and practice known as educational technology or instructional technology. It reflects the collaborative efforts of all members of the AECT Definition and Terminology Committee.The volume begins with the statement of the definition itself (chapter 1), followed by commentary chapters on each of the key terms and concepts contained in the definition (chapters 2-9). Chapter 10 provides historical context for the current definition by reviewing sa","edition":"2nd ed","event-place":"Hoboken","ISBN":"978-0-8058-5860-0","language":"eng","number-of-pages":"384","publisher":"Taylor and Francis","publisher-place":"Hoboken","source":"K10plus ISBN","title":"Educational technology: a definition with commentary","title-short":"Educational technology","author":[{"family":"Januszewski","given":"Al"},{"family":"Molenda","given":"Michael"}],"issued":{"date-parts":[["2013"]]},"citation-key":"januszewskiEducationalTechnologyDefinition2013"}},{"id":16572,"uris":["http://zotero.org/users/15409160/items/JD4E8QQI"],"itemData":{"id":16572,"type":"article-journal","abstract":"The role of technology in special education has increased over the last 20 years. Expedited by the introduction of Apple iPad and its implementation of touch-based input, the perception of technology has grown from a functional role for students with disabilities to a bridge in accessing general education curriculum. However, quality adoption of new technology within the classroom relies heavily on professional development of the special educator. This paper oﬀers a discussion on the expansion of technology in special education, various attributes associated with quality educator training on technology, and the results of a ﬁve-year investigation on the formal training of special educators using iPad tablets. Results indicated longitudinal training focused on active learner experiences had a signiﬁcant eﬀect on the likelihood of special educator iPad tablet adoption and the resulting implementation in the classroom. Recommendations on educator professional training on iPad tablets follows results.","archive":"ERIC","archive_location":"2722581789; EJ1343964","container-title":"International Journal of Disability, Development and Education","DOI":"10.1080/1034912X.2020.1731432","ISSN":"1034-912X, 1465-346X","issue":"2","journalAbbreviation":"International Journal of Disability, Development and Education","language":"en","note":"TLDR: Results indicated longitudinal training focused on active learner experiences had a significant effect on the likelihood of special educator iPad tablet adoption and the resulting implementation in the classroom.","page":"722-738","source":"DOI.org (Crossref)","title":"Expanding definition of technology in special education: Impact of training on the adoption of iPad tablets by special educators","title-short":"Expanding definition of technology in special education","URL":"https://www.tandfonline.com/doi/full/10.1080/1034912X.2020.1731432","volume":"69","author":[{"family":"Moreno","given":"Gerardo"}],"accessed":{"date-parts":[["2025",2,18]]},"issued":{"date-parts":[["2022",3,4]]},"citation-key":"morenoExpandingDefinitionTechnology2022"}}],"schema":"https://github.com/citation-style-language/schema/raw/master/csl-citation.json"} </w:instrText>
      </w:r>
      <w:r w:rsidR="00BE5CF8">
        <w:rPr>
          <w:color w:val="141516"/>
          <w:lang w:val="en-US"/>
        </w:rPr>
        <w:fldChar w:fldCharType="separate"/>
      </w:r>
      <w:r w:rsidR="009E6566">
        <w:rPr>
          <w:noProof/>
          <w:color w:val="141516"/>
          <w:lang w:val="en-US"/>
        </w:rPr>
        <w:t xml:space="preserve">(Association for Educational Communications and Technology, 2023; Januszewski &amp; Molenda, 2013; Moreno, </w:t>
      </w:r>
      <w:r w:rsidR="009E6566">
        <w:rPr>
          <w:noProof/>
          <w:color w:val="141516"/>
          <w:lang w:val="en-US"/>
        </w:rPr>
        <w:lastRenderedPageBreak/>
        <w:t>2022)</w:t>
      </w:r>
      <w:r w:rsidR="00BE5CF8">
        <w:rPr>
          <w:color w:val="141516"/>
          <w:lang w:val="en-US"/>
        </w:rPr>
        <w:fldChar w:fldCharType="end"/>
      </w:r>
      <w:r w:rsidR="009E6566">
        <w:rPr>
          <w:color w:val="141516"/>
          <w:lang w:val="en-US"/>
        </w:rPr>
        <w:t>.</w:t>
      </w:r>
      <w:r w:rsidR="00D47D52">
        <w:rPr>
          <w:color w:val="141516"/>
          <w:lang w:val="en-US"/>
        </w:rPr>
        <w:t xml:space="preserve"> </w:t>
      </w:r>
      <w:r w:rsidR="00A23666" w:rsidRPr="009B686A">
        <w:rPr>
          <w:color w:val="141516"/>
          <w:lang w:val="en-US"/>
        </w:rPr>
        <w:t xml:space="preserve">This leaves a near-endless number of applications that may enhance the educational outcomes of SWD through highly individualized and adaptive learning experiences. Increased relevance to individualized needs of SWD is helped by integrating technology into teacher practice </w:t>
      </w:r>
      <w:r w:rsidR="0076343D">
        <w:rPr>
          <w:color w:val="141516"/>
          <w:lang w:val="en-US"/>
        </w:rPr>
        <w:fldChar w:fldCharType="begin"/>
      </w:r>
      <w:r w:rsidR="000938F5">
        <w:rPr>
          <w:color w:val="141516"/>
          <w:lang w:val="en-US"/>
        </w:rPr>
        <w:instrText xml:space="preserve"> ADDIN ZOTERO_ITEM CSL_CITATION {"citationID":"nqyFEDZx","properties":{"formattedCitation":"(Emerling et al., 2021)","plainCitation":"(Emerling et al., 2021)","noteIndex":0},"citationItems":[{"id":1384,"uris":["http://zotero.org/users/15409160/items/2MYDGZQN"],"itemData":{"id":1384,"type":"article-journal","abstract":"Emerging trends and advancements in technology allow educators to develop dynamic learning environments to support their students’ academic and behavioral needs. The study documented the lived experience of special educators using assistive technology (AT) to support behavioral challenges in students with disabilities and the environmental factors that support educator’s use of AT. Fifteen educators who worked in K–12 schools participated in semi-structured interviews and completed a researcher-developed Assistive Technology Treatment Integrity Checklist (ATTIC). This exploratory study indicated that participants had limited experiences using AT to target challenging behaviors. However, participants used technology to support evidence-based interventions or customized instructional technologies to manage students’ needs. Our findings also indicated that school structures impacted AT-related attitudes and eventual use. The findings from this study add to the literature on technology supports for students with challenging behaviors. Implications for practice and future research are also discussed.","container-title":"Journal of Special Education Technology","DOI":"10.1177/01626434211034803","ISSN":"0162-6434","issue":"3","journalAbbreviation":"J Spec Educ Technol","language":"en","note":"publisher: SAGE Publications Inc","page":"162-174","source":"SAGE Journals","title":"Educator knowledge and implementation of assistive technology to support challenging behaviors: An exploratory inquiry","title-short":"Educator knowledge and implementation of assistive technology to support challenging behaviors","URL":"https://doi.org/10.1177/01626434211034803","volume":"36","author":[{"family":"Emerling","given":"Christopher R."},{"family":"Wilkinson","given":"Sarah"},{"family":"Maggin","given":"Daniel M."}],"accessed":{"date-parts":[["2024",10,19]]},"issued":{"date-parts":[["2021",9,1]]},"citation-key":"emerlingEducatorKnowledgeImplementation2021"}}],"schema":"https://github.com/citation-style-language/schema/raw/master/csl-citation.json"} </w:instrText>
      </w:r>
      <w:r w:rsidR="0076343D">
        <w:rPr>
          <w:color w:val="141516"/>
          <w:lang w:val="en-US"/>
        </w:rPr>
        <w:fldChar w:fldCharType="separate"/>
      </w:r>
      <w:r w:rsidR="00D17C00">
        <w:rPr>
          <w:noProof/>
          <w:color w:val="141516"/>
          <w:lang w:val="en-US"/>
        </w:rPr>
        <w:t>(Emerling et al., 2021)</w:t>
      </w:r>
      <w:r w:rsidR="0076343D">
        <w:rPr>
          <w:color w:val="141516"/>
          <w:lang w:val="en-US"/>
        </w:rPr>
        <w:fldChar w:fldCharType="end"/>
      </w:r>
      <w:r w:rsidR="00A23666" w:rsidRPr="009B686A">
        <w:rPr>
          <w:color w:val="141516"/>
          <w:lang w:val="en-US"/>
        </w:rPr>
        <w:t xml:space="preserve">. However, the innovation of available ET outpaces its integration in practice </w:t>
      </w:r>
      <w:r w:rsidR="00D17C00">
        <w:rPr>
          <w:color w:val="141516"/>
          <w:lang w:val="en-US"/>
        </w:rPr>
        <w:fldChar w:fldCharType="begin"/>
      </w:r>
      <w:r w:rsidR="000938F5">
        <w:rPr>
          <w:color w:val="141516"/>
          <w:lang w:val="en-US"/>
        </w:rPr>
        <w:instrText xml:space="preserve"> ADDIN ZOTERO_ITEM CSL_CITATION {"citationID":"9mSApapR","properties":{"formattedCitation":"(Crompton &amp; Sykora, 2021)","plainCitation":"(Crompton &amp; Sykora, 2021)","noteIndex":0},"citationItems":[{"id":17588,"uris":["http://zotero.org/users/15409160/items/BFRPXILG","http://zotero.org/users/15409160/items/9NTSEEXR"],"itemData":{"id":17588,"type":"article-journal","abstract":"Digital technologies are key tools that can be used to extend and enhance teaching and learning. However, empirical evidence show educators are unclear how to integrate technology and it is often used to support past teaching practices. Designbased research (DBR) involving a grounded theory design was used to construct a set of seven detailed education technology standards to provide guidance on how technology should be integrated and a set of 24 examples as indicators of these standards. This DBR mixed methods approach involved 2429 participants and gathered data from focus groups, surveys, and interviews. The DBR involved two macro cycles of design, implementation, analysis, and revision within the development of the standards. These standards are unique as they are the first empirically developed instructional technology standards for educators.","container-title":"Computers and Education Open","DOI":"10.1016/j.caeo.2021.100044","ISSN":"2666-5573","journalAbbreviation":"Computers and Education Open","language":"en","license":"https://www.elsevier.com/tdm/userlicense/1.0/","note":"publisher: Elsevier BV","page":"100044","source":"Crossref","title":"Developing instructional technology standards for educators: a design-based research study","title-short":"Developing instructional technology standards for educators","URL":"https://linkinghub.elsevier.com/retrieve/pii/S266655732100015X","volume":"2","author":[{"family":"Crompton","given":"Helen"},{"family":"Sykora","given":"Carolyn"}],"accessed":{"date-parts":[["2025",5,22]]},"issued":{"date-parts":[["2021",12]]},"citation-key":"cromptonDevelopingInstructionalTechnology2021"}}],"schema":"https://github.com/citation-style-language/schema/raw/master/csl-citation.json"} </w:instrText>
      </w:r>
      <w:r w:rsidR="00D17C00">
        <w:rPr>
          <w:color w:val="141516"/>
          <w:lang w:val="en-US"/>
        </w:rPr>
        <w:fldChar w:fldCharType="separate"/>
      </w:r>
      <w:r w:rsidR="009F1D10">
        <w:rPr>
          <w:noProof/>
          <w:color w:val="141516"/>
          <w:lang w:val="en-US"/>
        </w:rPr>
        <w:t>(Crompton &amp; Sykora, 2021)</w:t>
      </w:r>
      <w:r w:rsidR="00D17C00">
        <w:rPr>
          <w:color w:val="141516"/>
          <w:lang w:val="en-US"/>
        </w:rPr>
        <w:fldChar w:fldCharType="end"/>
      </w:r>
      <w:r w:rsidR="00A23666" w:rsidRPr="009B686A">
        <w:rPr>
          <w:color w:val="141516"/>
          <w:lang w:val="en-US"/>
        </w:rPr>
        <w:t xml:space="preserve">. </w:t>
      </w:r>
    </w:p>
    <w:p w14:paraId="31FDECF7" w14:textId="08A09413" w:rsidR="00716368" w:rsidRDefault="00716368" w:rsidP="00716368">
      <w:pPr>
        <w:pStyle w:val="Heading3"/>
        <w:spacing w:line="480" w:lineRule="auto"/>
        <w:rPr>
          <w:lang w:val="en-US"/>
        </w:rPr>
      </w:pPr>
      <w:r>
        <w:rPr>
          <w:lang w:val="en-US"/>
        </w:rPr>
        <w:t>Benefits of ET in Teacher Practice</w:t>
      </w:r>
    </w:p>
    <w:p w14:paraId="074209EF" w14:textId="18954828" w:rsidR="00A23666" w:rsidRDefault="00A23666" w:rsidP="00A23666">
      <w:pPr>
        <w:tabs>
          <w:tab w:val="left" w:pos="1440"/>
          <w:tab w:val="left" w:pos="2160"/>
          <w:tab w:val="left" w:pos="2880"/>
        </w:tabs>
        <w:spacing w:line="480" w:lineRule="auto"/>
        <w:ind w:firstLine="720"/>
        <w:rPr>
          <w:color w:val="141516"/>
          <w:lang w:val="en-US"/>
        </w:rPr>
      </w:pPr>
      <w:r w:rsidRPr="009B686A">
        <w:rPr>
          <w:color w:val="141516"/>
          <w:lang w:val="en-US"/>
        </w:rPr>
        <w:t xml:space="preserve">Integrating ET into special education teacher practice increases student engagement and motivation to facilitate the learning experiences for SWD </w:t>
      </w:r>
      <w:r w:rsidR="009F1D10">
        <w:rPr>
          <w:color w:val="141516"/>
          <w:lang w:val="en-US"/>
        </w:rPr>
        <w:fldChar w:fldCharType="begin"/>
      </w:r>
      <w:r w:rsidR="000938F5">
        <w:rPr>
          <w:color w:val="141516"/>
          <w:lang w:val="en-US"/>
        </w:rPr>
        <w:instrText xml:space="preserve"> ADDIN ZOTERO_ITEM CSL_CITATION {"citationID":"Oj3b7UGJ","properties":{"formattedCitation":"(Anderson &amp; Putman, 2020; Bouck, 2016; Koch, 2017; Smith &amp; Okolo, 2010)","plainCitation":"(Anderson &amp; Putman, 2020; Bouck, 2016; Koch, 2017; Smith &amp; Okolo, 2010)","noteIndex":0},"citationItems":[{"id":11626,"uris":["http://zotero.org/users/15409160/items/5K8UG49W"],"itemData":{"id":11626,"type":"article-journal","abstract":"This study investigated the perspectives of elementary special education teachers regarding integrating technology into lessons. Eight special education teachers at a private university laboratory school, who varied in their levels of teaching experience and confidence with using technology, participated in the study. We interviewed each teacher three times, with two of the interviews following our observations of technology-integrated lessons. Qualitative analysis of interview transcripts provided insight into the interrelationships among teachers’ technological pedagogical content knowledge, teaching experience, confidence with using technology, beliefs about the role of technology in education, and perceptions of the benefits and challenges associated with using it. Teachers’ perceptions of the value of technology in special education classrooms included providing differentiation, offering varied representations of content, enhancing motivation and engagement, facilitating formative assessment, and fostering life skills. Challenges of integrating technology included technology malfunctions and lack of teacher and student technological knowledge.","container-title":"Journal of Special Education Technology","DOI":"10.1177/0162643419836409","ISSN":"0162-6434, 2381-3121","issue":"1","journalAbbreviation":"J Spec Educ Technol","language":"en","note":"publisher: SAGE Publications Inc\nTLDR: Teachers’ perceptions of the value of technology in special education classrooms included providing differentiation, offering varied representations of content, enhancing motivation and engagement, facilitating formative assessment, and fostering life skills.","page":"37-50","source":"DOI.org (Crossref)","title":"Special education teachers’ experience, confidence, beliefs, and knowledge about integrating technology","URL":"https://journals.sagepub.com/doi/10.1177/0162643419836409","volume":"35","author":[{"family":"Anderson","given":"Susan E."},{"family":"Putman","given":"Rebecca S."}],"accessed":{"date-parts":[["2025",1,1]]},"issued":{"date-parts":[["2020",3]]},"citation-key":"andersonSpecialEducationTeachers2020"}},{"id":1578,"uris":["http://zotero.org/users/15409160/items/8FKVAERW"],"itemData":{"id":1578,"type":"article-journal","abstract":"Assistive technology (AT)—included in the Individuals with Disabilities Education Act since 1990—supports students with disabilities. Yet, research repeatedly suggests an underutilization of AT. This study represents a secondary analysis of the National Longitudinal Transition Study-2 focused on understanding issues of AT for secondary (i.e., high school) students with disabilities. The study presents the self-reported and educator-reported rates of AT receipt by secondary students with disabilities, both aggregated and disaggregated by disability group. The results suggest low rates of self-reported and educator-reported AT access and/or use for secondary students with disabilities but higher rates of AT for secondary students with more low-incidence disabilities than students with more high-incidence disabilities.","container-title":"Journal of Special Education Technology","DOI":"10.1177/0162643416633330","ISSN":"0162-6434","issue":"1","journalAbbreviation":"J Spec Educ Technol","language":"en","note":"publisher: SAGE Publications Inc\nTLDR: The results suggest low rates of self-reported and educator-reported AT access and/or use for secondary students with disabilities but higher rates of AT for secondaryStudents with more low-incidence disabilities than students with more high- incidence disabilities.","page":"4-13","source":"SAGE Journals","title":"A national snapshot of assistive technology for students with disabilities","URL":"https://doi.org/10.1177/0162643416633330","volume":"31","author":[{"family":"Bouck","given":"Emily C."}],"accessed":{"date-parts":[["2024",10,19]]},"issued":{"date-parts":[["2016",3,1]]},"citation-key":"bouckNationalSnapshotAssistive2016"}},{"id":981,"uris":["http://zotero.org/users/15409160/items/AFR99W5Q"],"itemData":{"id":981,"type":"article-journal","abstract":"Assistive technology is not only a required component of a student’s IEP; it can be an effective way to help students with (and without) disabilities access their education and to provide them with required instructional accommodations. Teachers, however, are often not adequately prepared in their pre-service course work and ongoing professional development to address the technology needs of their special education students and have not had the opportunities to access technology due to limited availability and cost. While assistive technology can be purchased to augment an existing computer, it is often unnecessary to do that. Both Microsoft and Apple operating systems in “off-the-shelf” computers and handheld devices have embedded assistive technology that is easy to access and easy to use. This embedded technology can help teachers become familiar with technology and assist students with sensory, physical, learning, and attention disabilities, and it might have practical applications with Universal Design for Learning. This paper provides a discussion on how embedded technology can support students with disabilities in the school setting and provides examples for access and use.","archive":"Publicly Available Content Database","archive_location":"1988594354","container-title":"Education Sciences","DOI":"10.3390/educsci7040082","ISSN":"22277102","issue":"4","language":"English","note":"publisher-place: Basel\npublisher: MDPI AG","page":"82","title":"Stay in the box! Embedded assistive technology improves access for students with disabilities","URL":"https://www2.lib.ku.edu/login?url=https://www.proquest.com/scholarly-journals/stay-box-embedded-assistive-technology-improves/docview/1988594354/se-2?accountid=14556","volume":"7","author":[{"family":"Koch","given":"Katherine"}],"issued":{"date-parts":[["2017"]]},"citation-key":"kochStayBoxEmbedded2017"}},{"id":9929,"uris":["http://zotero.org/users/15409160/items/IAFWGZEI"],"itemData":{"id":9929,"type":"article-journal","abstract":"A d v a n c e m e n t s in t e c h n o l o g y - b a s e d s o l u t i o n s for students with learning disabilities (LD) offer tremendous opportunities to enhance learning as well as meaningful access to the general education curriculum for this group of students. This article examines technology integration within the context of response to intervention (RTI). At the forefront of special education reform, RTI is reshaping special education practice. This article seeks to connect RTI components (e.g., evidence-based practice) with technology-based solutions in order to further ways in which technology tools can be incorporated into the lives of students with LD. Three effective practices (graphic organizers, written instruction, explicit instruction) are examined. For each area, we briefly describe the approach, examine the evidence behind the approach, and discuss technology-based tools that embed these effective features.","container-title":"Learning Disability Quarterly","DOI":"10.1177/073194871003300404","ISSN":"0731-9487, 2168-376X","issue":"4","journalAbbreviation":"Learning Disability Quarterly","language":"en","license":"https://journals.sagepub.com/page/policies/text-and-data-mining-license","note":"publisher-place: Los Angeles, CA\npublisher: Los Angeles, CA: Council for Learning Disabilities\nTLDR: This article seeks to connect RTI components (e.g., evidence-based practice) with technology-based solutions in order to further ways in which technology tools can be incorporated into the lives of students with LD.","page":"257-272","source":"DOI.org (Crossref)","title":"Response to intervention and evidence-based practices: Where does technology fit?","title-short":"Response to intervention and evidence-based practices","URL":"https://journals.sagepub.com/doi/10.1177/073194871003300404","volume":"33","author":[{"family":"Smith","given":"Sean J."},{"family":"Okolo","given":"Cynthia"}],"accessed":{"date-parts":[["2024",11,13]]},"issued":{"date-parts":[["2010",11]]},"citation-key":"smithResponseInterventionEvidencebased2010"}}],"schema":"https://github.com/citation-style-language/schema/raw/master/csl-citation.json"} </w:instrText>
      </w:r>
      <w:r w:rsidR="009F1D10">
        <w:rPr>
          <w:color w:val="141516"/>
          <w:lang w:val="en-US"/>
        </w:rPr>
        <w:fldChar w:fldCharType="separate"/>
      </w:r>
      <w:r w:rsidR="00BB7014">
        <w:rPr>
          <w:noProof/>
          <w:color w:val="141516"/>
          <w:lang w:val="en-US"/>
        </w:rPr>
        <w:t>(Anderson &amp; Putman, 2020; Bouck, 2016; Koch, 2017; Smith &amp; Okolo, 2010)</w:t>
      </w:r>
      <w:r w:rsidR="009F1D10">
        <w:rPr>
          <w:color w:val="141516"/>
          <w:lang w:val="en-US"/>
        </w:rPr>
        <w:fldChar w:fldCharType="end"/>
      </w:r>
      <w:r w:rsidRPr="009B686A">
        <w:rPr>
          <w:color w:val="141516"/>
          <w:lang w:val="en-US"/>
        </w:rPr>
        <w:t>.</w:t>
      </w:r>
      <w:r w:rsidR="00BB7014">
        <w:rPr>
          <w:color w:val="141516"/>
          <w:lang w:val="en-US"/>
        </w:rPr>
        <w:t xml:space="preserve"> </w:t>
      </w:r>
      <w:r w:rsidRPr="009B686A">
        <w:rPr>
          <w:color w:val="141516"/>
          <w:lang w:val="en-US"/>
        </w:rPr>
        <w:t xml:space="preserve">Facilitating differentiation, promoting student autonomy, and enabling progress monitoring and data-driven instruction </w:t>
      </w:r>
      <w:r w:rsidR="00374F7E">
        <w:rPr>
          <w:color w:val="141516"/>
          <w:lang w:val="en-US"/>
        </w:rPr>
        <w:fldChar w:fldCharType="begin"/>
      </w:r>
      <w:r w:rsidR="000938F5">
        <w:rPr>
          <w:color w:val="141516"/>
          <w:lang w:val="en-US"/>
        </w:rPr>
        <w:instrText xml:space="preserve"> ADDIN ZOTERO_ITEM CSL_CITATION {"citationID":"zEcpMuBt","properties":{"formattedCitation":"(Fern\\uc0\\u225{}ndez-Batanero et al., 2022; Shaheen &amp; Lohnes Watulak, 2019)","plainCitation":"(Fernández-Batanero et al., 2022; Shaheen &amp; Lohnes Watulak, 2019)","noteIndex":0},"citationItems":[{"id":17606,"uris":["http://zotero.org/users/15409160/items/YXC6U452","http://zotero.org/users/15409160/items/QAZIX5RU"],"itemData":{"id":17606,"type":"article-journal","abstract":"The commitment to increase the inclusion of students with disabilities has ensured that the concept of Assistive Technology (AT) has become increasingly widespread in education. The main objective of this paper focuses on conducting a systematic review of studies regarding the impact of Assistive Technology for the inclusion of students with disabilities. In order to achieve the above, a review of relevant empirical studies published between 2009 and 2020 in four databases (Web of Science (WoS), Scopus, ERIC and PsycINFO) was carried out. The sample consists of 31 articles that met the inclusion criteria of this review, out of a total of 216 identified. Findings of this study include that the use of Assistive Technologies is successful in increasing the inclusion and accessibility of students with disabilities, although barriers such as teacher education, lack of information or accessibility are found.","container-title":"Educational technology research and development","DOI":"10.1007/s11423-022-10127-7","ISSN":"1042-1629, 1556-6501","issue":"5","journalAbbreviation":"Education Tech Research Dev","language":"en","license":"https://creativecommons.org/licenses/by/4.0","note":"publisher: Springer Science and Business Media LLC","page":"1911-1930","source":"Crossref","title":"Assistive technology for the inclusion of students with disabilities: a systematic review","title-short":"Assistive technology for the inclusion of students with disabilities","URL":"https://link.springer.com/10.1007/s11423-022-10127-7","volume":"70","author":[{"family":"Fernández-Batanero","given":"José María"},{"family":"Montenegro-Rueda","given":"Marta"},{"family":"Fernández-Cerero","given":"José"},{"family":"García-Martínez","given":"Inmaculada"}],"accessed":{"date-parts":[["2025",5,22]]},"issued":{"date-parts":[["2022",10]]},"citation-key":"fernandez-bataneroAssistiveTechnologyInclusion2022"}},{"id":10037,"uris":["http://zotero.org/users/15409160/items/N5QEBNME"],"itemData":{"id":10037,"type":"article-journal","abstract":"This article presents a review of the literature, pertaining to technology accessibility in K–12 schools in the United States, in order to bring technology accessibility into conversations about equity in instructional technology with the goal of ensuring that disabled learners have equal access to the technology-enhanced learning opportunities that are an increasingly integral part of K–12 education. The findings of the review indicate that despite long-standing federal and state accessibility mandates, inaccessible technologies abound in K–12, denying disabled learners equal access to education. We conclude that technology accessibility is an equity concern that must be prioritized in instructional technology discourse, research, and practice to begin addressing the inequality that disabled learners face in technology-enhanced K–12 learning environments. (Keywords: instructional technology, equity, disability, accessibility, K–12, education)","container-title":"Journal of Research on Technology in Education","DOI":"10.1080/15391523.2019.1566037","ISSN":"1539-1523","issue":"2","note":"publisher: Routledge\n_eprint: https://doi.org/10.1080/15391523.2019.1566037\nTLDR: It is concluded that technology accessibility is an equity concern that must be prioritized in instructional technology discourse, research, and practice to begin addressing the inequality that disabled learners face in technology-enhanced K–12 learning environments.","page":"187-201","source":"Taylor and Francis+NEJM","title":"Bringing disability into the discussion: Examining technology accessibility as an equity concern in the field of instructional technology","title-short":"Bringing disability into the discussion","URL":"https://doi.org/10.1080/15391523.2019.1566037","volume":"51","author":[{"family":"Shaheen","given":"Natalie L."},{"family":"Lohnes Watulak","given":"Sarah"}],"accessed":{"date-parts":[["2024",11,15]]},"issued":{"date-parts":[["2019",4,3]]},"citation-key":"shaheenBringingDisabilityDiscussion2019"}}],"schema":"https://github.com/citation-style-language/schema/raw/master/csl-citation.json"} </w:instrText>
      </w:r>
      <w:r w:rsidR="00374F7E">
        <w:rPr>
          <w:color w:val="141516"/>
          <w:lang w:val="en-US"/>
        </w:rPr>
        <w:fldChar w:fldCharType="separate"/>
      </w:r>
      <w:r w:rsidR="0096704A" w:rsidRPr="0096704A">
        <w:rPr>
          <w:color w:val="000000"/>
          <w:lang w:val="en-US"/>
        </w:rPr>
        <w:t>(Fernández-Batanero et al., 2022; Shaheen &amp; Lohnes Watulak, 2019)</w:t>
      </w:r>
      <w:r w:rsidR="00374F7E">
        <w:rPr>
          <w:color w:val="141516"/>
          <w:lang w:val="en-US"/>
        </w:rPr>
        <w:fldChar w:fldCharType="end"/>
      </w:r>
      <w:r w:rsidR="0096704A">
        <w:rPr>
          <w:color w:val="141516"/>
          <w:lang w:val="en-US"/>
        </w:rPr>
        <w:t xml:space="preserve"> </w:t>
      </w:r>
      <w:r w:rsidRPr="009B686A">
        <w:rPr>
          <w:color w:val="141516"/>
          <w:lang w:val="en-US"/>
        </w:rPr>
        <w:t xml:space="preserve">are also among ET’s benefits. The workload burdens of paperwork requirements, data collection, and meeting preparation are lessened by a teacher’s ability to implement ET </w:t>
      </w:r>
      <w:r w:rsidR="0096704A">
        <w:rPr>
          <w:color w:val="141516"/>
          <w:lang w:val="en-US"/>
        </w:rPr>
        <w:fldChar w:fldCharType="begin"/>
      </w:r>
      <w:r w:rsidR="00145D4C">
        <w:rPr>
          <w:color w:val="141516"/>
          <w:lang w:val="en-US"/>
        </w:rPr>
        <w:instrText xml:space="preserve"> ADDIN ZOTERO_ITEM CSL_CITATION {"citationID":"ITvhQijI","properties":{"formattedCitation":"(Starks &amp; Reich, 2023)","plainCitation":"(Starks &amp; Reich, 2023)","noteIndex":0},"citationItems":[{"id":11267,"uris":["http://zotero.org/users/15409160/items/ZXLDUXJ6"],"itemData":{"id":11267,"type":"article-journal","abstract":"Technology integration in school is an increasingly important equity issue, but little is known about how technology is used for teaching the 7 million K-12 special education students in the US (NCES, 2019). Though special education is often overlooked in technology integration research, what does exist suggests that technology use in schools often exacerbates opportunity gaps for students with disabilities (Ciampa, 2017; Dolan, 2016; Shaheen &amp; Watulak, 2019). The rapid shift to remote learning during the COVID-19 pandemic offers an opportunity to better explore enablers and barriers to technology-enabled learning for special education (SPED) because of the widespread reliance on technology for teaching and learning. Using in-depth interviews (N = 20) with special educators during remote learning, the present study seeks to (1) describe important enablers and barriers for SPED teacher use of technology in K-12 before and during remote learning, (2) understand how structural, teacher, and student-level factors influence SPED teachers’ opportunities for teaching with technology, and (3) highlight emerging problems for SPED populations in technology-enabled learning. Results suggest that the most prominent enablers and barriers for technology use in special education are structural (e.g., decision-making around teacher training and technology resources, structures for student digital literacy training), but manifest at the teacher and student levels. SPED teachers described significant barriers to providing accessible technology-enabled instruction, largely due to school-based structures for resource allocation, student digital literacy training, teacher training, decision-making for technology, SPED job roles, and home-school communication. Recommendations are made for providing high-quality digital learning for all students, especially students with diverse learning needs.","container-title":"Computers &amp; Education","DOI":"10.1016/j.compedu.2022.104665","ISSN":"0360-1315","journalAbbreviation":"Computers &amp; Education","language":"en","note":"TLDR: Results suggest that the most prominent enablers and barriers for technology use in special education are structural (e.g., decision-making around teacher training and technology resources, structures for student digital literacy training), but manifest at the teacher and student levels.","page":"104665","source":"ScienceDirect","title":"“What about special ed?“: Barriers and enablers for teaching with technology in special education","title-short":"“What about special ed?","URL":"https://www.sciencedirect.com/science/article/pii/S0360131522002366","volume":"193","author":[{"family":"Starks","given":"Allison C."},{"family":"Reich","given":"Stephanie M."}],"accessed":{"date-parts":[["2024",12,6]]},"issued":{"date-parts":[["2023",2,1]]},"citation-key":"starksWhatSpecialEd2023"}}],"schema":"https://github.com/citation-style-language/schema/raw/master/csl-citation.json"} </w:instrText>
      </w:r>
      <w:r w:rsidR="0096704A">
        <w:rPr>
          <w:color w:val="141516"/>
          <w:lang w:val="en-US"/>
        </w:rPr>
        <w:fldChar w:fldCharType="separate"/>
      </w:r>
      <w:r w:rsidR="00145D4C">
        <w:rPr>
          <w:noProof/>
          <w:color w:val="141516"/>
          <w:lang w:val="en-US"/>
        </w:rPr>
        <w:t>(Starks &amp; Reich, 2023)</w:t>
      </w:r>
      <w:r w:rsidR="0096704A">
        <w:rPr>
          <w:color w:val="141516"/>
          <w:lang w:val="en-US"/>
        </w:rPr>
        <w:fldChar w:fldCharType="end"/>
      </w:r>
      <w:r w:rsidRPr="009B686A">
        <w:rPr>
          <w:color w:val="141516"/>
          <w:lang w:val="en-US"/>
        </w:rPr>
        <w:t xml:space="preserve">. </w:t>
      </w:r>
    </w:p>
    <w:p w14:paraId="7E1AE852" w14:textId="0FA20A46" w:rsidR="00716368" w:rsidRDefault="00716368" w:rsidP="00716368">
      <w:pPr>
        <w:pStyle w:val="Heading3"/>
        <w:spacing w:line="480" w:lineRule="auto"/>
      </w:pPr>
      <w:r>
        <w:t>Barriers of ET in Teacher Practice</w:t>
      </w:r>
    </w:p>
    <w:p w14:paraId="7690DBE0" w14:textId="164EB051" w:rsidR="00630A8B" w:rsidRDefault="00A23666" w:rsidP="00A23666">
      <w:pPr>
        <w:tabs>
          <w:tab w:val="left" w:pos="1440"/>
          <w:tab w:val="left" w:pos="2160"/>
          <w:tab w:val="left" w:pos="2880"/>
        </w:tabs>
        <w:spacing w:line="480" w:lineRule="auto"/>
        <w:ind w:firstLine="720"/>
        <w:rPr>
          <w:color w:val="141516"/>
          <w:lang w:val="en-US"/>
        </w:rPr>
      </w:pPr>
      <w:r w:rsidRPr="009B686A">
        <w:rPr>
          <w:color w:val="141516"/>
          <w:lang w:val="en-US"/>
        </w:rPr>
        <w:t xml:space="preserve">Despite ET’s benefits in improving learning for SWD, persistent barriers to teachers have remained for decades </w:t>
      </w:r>
      <w:r w:rsidR="008D0B1D">
        <w:rPr>
          <w:color w:val="141516"/>
          <w:lang w:val="en-US"/>
        </w:rPr>
        <w:fldChar w:fldCharType="begin"/>
      </w:r>
      <w:r w:rsidR="00FF4A85">
        <w:rPr>
          <w:color w:val="141516"/>
          <w:lang w:val="en-US"/>
        </w:rPr>
        <w:instrText xml:space="preserve"> ADDIN ZOTERO_ITEM CSL_CITATION {"citationID":"I04FIsYC","properties":{"formattedCitation":"(Bausch &amp; Hasselbring, 2004; Jacobsen et al., 2002; McGregor &amp; Pachuski, 1996; Messinger-Willman &amp; Marino, 2010; Schaaf, 2018; Starks &amp; Reich, 2023; Wirth et al., 1982)","plainCitation":"(Bausch &amp; Hasselbring, 2004; Jacobsen et al., 2002; McGregor &amp; Pachuski, 1996; Messinger-Willman &amp; Marino, 2010; Schaaf, 2018; Starks &amp; Reich, 2023; Wirth et al., 1982)","noteIndex":0},"citationItems":[{"id":16263,"uris":["http://zotero.org/users/15409160/items/725IA9YS"],"itemData":{"id":16263,"type":"article-journal","abstract":"Assistive Technology (AT) devices and services have been legally mandated for several years. However, the passage of the Individuals with Disabilities Act Amendments P.L. 105–17 (IDEA1997), which states that every student with an Individualized Education Program (IEP) must be considered for AT, had enormous implications impacting approximately six million school-aged students identified with a disability. As a result, states have written assistive technology policies, procedures, guidelines, and technical assistance manuals to reflect the change in federal laws. In order to comply with state policies, school districts are in need of qualified personnel to plan, develop, and implement assistive devices and services. However, because of the lack of AT degree and certification programs at the preservice level, it is often problematic for districts to find AT trained personnel, thus, directly impacting the services that can be provided for students with disabilities.","container-title":"Teacher Education and Special Education","DOI":"10.1177/088840640402700202","ISSN":"0888-4064","issue":"2","language":"en","note":"publisher: SAGE Publications Inc","page":"97-104","source":"SAGE Journals","title":"Assistive technology: Are the necessary skills and knowledge being developed at the pre-service and in-service levels?","title-short":"Assistive technology","URL":"https://doi.org/10.1177/088840640402700202","volume":"27","author":[{"family":"Bausch","given":"Margaret E."},{"family":"Hasselbring","given":"Ted S."}],"accessed":{"date-parts":[["2025",2,18]]},"issued":{"date-parts":[["2004",4,1]]},"citation-key":"bauschAssistiveTechnologyAre2004"}},{"id":16431,"uris":["http://zotero.org/users/15409160/items/77FAE49H"],"itemData":{"id":16431,"type":"article-journal","abstract":"The provincial education ministry in Alberta, Canada recently mandated an ICT Program of Studies that requires the infusion of digital technologies into core curricula. The effective implementation of this program of studies demands that teachers create inquiry-based, technology enabled learning environments for children across the grades. The creation of technology-rich learning environments calls for a shift in thinking for teacher preparation. We cannot continue to teach the next generation of teachers in ways we were taught. Instead, pre-service teachers must routinely encounter the ...","container-title":"Contemporary Issues in Technology and Teacher Education","ISSN":"1528-5804","issue":"3","language":"en","note":"publisher: Society for Information Technology &amp; Teacher Education","page":"363-388","source":"www.learntechlib.org","title":"Preparing teachers for technology integration: Creating a culture of inquiry in the context of use","title-short":"Preparing teachers for technology integration","URL":"https://www.learntechlib.org/primary/p/17761/","volume":"2","author":[{"family":"Jacobsen","given":"Michele"},{"family":"Clifford","given":"Pat"},{"family":"Friesen","given":"Sharon"}],"accessed":{"date-parts":[["2025",2,18]]},"issued":{"date-parts":[["2002"]]},"citation-key":"jacobsenPreparingTeachersTechnology2002"}},{"id":1818,"uris":["http://zotero.org/users/15409160/items/ZNW9LIES"],"itemData":{"id":1818,"type":"article-journal","abstract":"This article summarizes the results of a survey of teachers in Pennsylvania who have educational responsibility for one or more students who use assistive technology in the classroom. The majority of these students had some type of physical disability and used an augmentative communication device. The teachers who responded to this survey were highly educated and experienced in the use of computers and assistive technology. Issues surrounding the complexity of the equipment were among the greatest barriers to the use of assistive technology reported by these teachers. When asked to rate both the importance and availability of specific technology supports, training and maintenance issues were rated most highly. Teachers consistently rated supports as being more important than they were readily available.","archive":"Nursing &amp; Allied Health Premium","archive_location":"1971337673","container-title":"Journal of Special Education Technology","DOI":"10.1177/016264349601300102","ISSN":"01626434","issue":"1","language":"English","note":"publisher-place: Norman\npublisher: SAGE PUBLICATIONS, INC.\nTLDR: A survey of teachers in Pennsylvania who have educational responsibility for one or more students who use assistive technology in the classroom found that the majority of students had some type of physical disability and used an augmentative communication device.","page":"4-15","title":"Assistive technology in schools: Are teachers ready, able, and supported?","URL":"https://www2.lib.ku.edu/login?url=https://www.proquest.com/scholarly-journals/assistive-technology-schools-are-teachers-ready/docview/1971337673/se-2?accountid=14556","volume":"13","author":[{"family":"McGregor","given":"Gail"},{"family":"Pachuski","given":"Pete"}],"issued":{"date-parts":[["1996",3]]},"citation-key":"mcgregorAssistiveTechnologySchools1996"}},{"id":998,"uris":["http://zotero.org/users/15409160/items/LJ8ULITA"],"itemData":{"id":998,"type":"article-journal","abstract":"The increased number of students with learning disabilities in general education secondary school classrooms presents complex challenges for today's educators. This article describes how the Universal Design for Learning theoretical framework can be used with assistive technology to enhance educational opportunities for secondary students with learning disabilities. Barriers that prevent secondary teachers from effectively selecting, adopting, implementing, and assessing assistive technology devices are discussed and potential solutions are identified. The article concludes with recommendations for enhancing secondary teachers' professional development opportunities. [PUBLICATON ABSTRACT]","archive":"Research Library: Business; Research Library: Health &amp; Medicine; Research Library: History; Research Library: Literature &amp; Language; Research Library: Science &amp; Technology; Research Library: Social Sciences; Research Library: The Arts","archive_location":"747526321","container-title":"National Association of Secondary School Principals. NASSP Bulletin","ISSN":"01926365","issue":"1","language":"English","note":"publisher-place: Reston\npublisher: SAGE PUBLICATIONS, INC.","page":"5-16","title":"Universal design for learning and assistive technology: Leadership considerations for promoting inclusive education in today's secondary schools","URL":"https://proquest.com/scholarly-journals/universal-design-learning-assistive-technology/docview/747526321/se-2","volume":"94","author":[{"family":"Messinger-Willman","given":"Jaime"},{"family":"Marino","given":"Matthew T"}],"issued":{"date-parts":[["2010",3]]},"citation-key":"messinger-willmanUniversalDesignLearning2010"}},{"id":16705,"uris":["http://zotero.org/users/15409160/items/KYXLI8RU"],"itemData":{"id":16705,"type":"article-journal","abstract":"Federal laws require teachers to understand the special needs of their students and provide the best possible education for them. However, many teachers have completed their preservice education without the requisite skills to implement assistive technology to support exceptional students. These teachers have become dependent upon professional development (PD) to gain these skills. This article will describe the comprehensive prescription developed to evaluate a school district’s PD program. The results of this evaluation identify strengths of the program and areas of improvement to counter the limitations.","archive":"ERIC","archive_location":"2101887651; EJ1185828","container-title":"Journal of Special Education Technology","DOI":"10.1177/0162643417753561","ISSN":"0162-6434","issue":"3","journalAbbreviation":"J Spec Educ Technol","language":"en","note":"publisher: SAGE Publications Inc\nTLDR: The comprehensive prescription developed to evaluate a school district’s PD program is described and strengths of the program and areas of improvement to counter the limitations are identified.","page":"171-181","source":"SAGE Journals","title":"Assistive technology instruction in teacher professional development","URL":"https://doi.org/10.1177/0162643417753561","volume":"33","author":[{"family":"Schaaf","given":"David N."}],"accessed":{"date-parts":[["2025",2,17]]},"issued":{"date-parts":[["2018",9,1]]},"citation-key":"schaafAssistiveTechnologyInstruction2018"}},{"id":11267,"uris":["http://zotero.org/users/15409160/items/ZXLDUXJ6"],"itemData":{"id":11267,"type":"article-journal","abstract":"Technology integration in school is an increasingly important equity issue, but little is known about how technology is used for teaching the 7 million K-12 special education students in the US (NCES, 2019). Though special education is often overlooked in technology integration research, what does exist suggests that technology use in schools often exacerbates opportunity gaps for students with disabilities (Ciampa, 2017; Dolan, 2016; Shaheen &amp; Watulak, 2019). The rapid shift to remote learning during the COVID-19 pandemic offers an opportunity to better explore enablers and barriers to technology-enabled learning for special education (SPED) because of the widespread reliance on technology for teaching and learning. Using in-depth interviews (N = 20) with special educators during remote learning, the present study seeks to (1) describe important enablers and barriers for SPED teacher use of technology in K-12 before and during remote learning, (2) understand how structural, teacher, and student-level factors influence SPED teachers’ opportunities for teaching with technology, and (3) highlight emerging problems for SPED populations in technology-enabled learning. Results suggest that the most prominent enablers and barriers for technology use in special education are structural (e.g., decision-making around teacher training and technology resources, structures for student digital literacy training), but manifest at the teacher and student levels. SPED teachers described significant barriers to providing accessible technology-enabled instruction, largely due to school-based structures for resource allocation, student digital literacy training, teacher training, decision-making for technology, SPED job roles, and home-school communication. Recommendations are made for providing high-quality digital learning for all students, especially students with diverse learning needs.","container-title":"Computers &amp; Education","DOI":"10.1016/j.compedu.2022.104665","ISSN":"0360-1315","journalAbbreviation":"Computers &amp; Education","language":"en","note":"TLDR: Results suggest that the most prominent enablers and barriers for technology use in special education are structural (e.g., decision-making around teacher training and technology resources, structures for student digital literacy training), but manifest at the teacher and student levels.","page":"104665","source":"ScienceDirect","title":"“What about special ed?“: Barriers and enablers for teaching with technology in special education","title-short":"“What about special ed?","URL":"https://www.sciencedirect.com/science/article/pii/S0360131522002366","volume":"193","author":[{"family":"Starks","given":"Allison C."},{"family":"Reich","given":"Stephanie M."}],"accessed":{"date-parts":[["2024",12,6]]},"issued":{"date-parts":[["2023",2,1]]},"citation-key":"starksWhatSpecialEd2023"}},{"id":16797,"uris":["http://zotero.org/users/15409160/items/ABY4EH6F"],"itemData":{"id":16797,"type":"article-journal","abstract":"One special education teacher and one special education administrator from each of 17 small rural school districts (ti =34) were interviewed via a 65-item interview guide relative to staff development needs. A lack of staff development activities was identified as a critical problem for special educators in such districts in New Mexico. Training In the area of instructional technology was the most frequently mentioned inservice need. A majority of respondents indicated that instructional technology would be useful in the provision of special services. The vast majority of respondents felt competence in instructional technology would improve the special educator's effectiveness in the classroom, whUe the response to the question of whether competence in this area would improve the special education administrator's effectiveness was mixed.","container-title":"Journal of Special Education Technology","DOI":"10.1177/016264348300600104","ISSN":"0162-6434, 2381-3121","issue":"1","journalAbbreviation":"J Spec Educ Technol","language":"en","license":"https://journals.sagepub.com/page/policies/text-and-data-mining-license","page":"25-29","source":"DOI.org (Crossref)","title":"The need for inservice training in instructional technology for special education personnel in small rural school districts","URL":"https://journals.sagepub.com/doi/10.1177/016264348300600104","volume":"6","author":[{"family":"Wirth","given":"Paul A."},{"family":"Stile","given":"Stephen W."},{"family":"Cole","given":"Jack T."}],"accessed":{"date-parts":[["2025",2,18]]},"issued":{"date-parts":[["1982",12]]},"citation-key":"wirthNeedInserviceTraining1982"}}],"schema":"https://github.com/citation-style-language/schema/raw/master/csl-citation.json"} </w:instrText>
      </w:r>
      <w:r w:rsidR="008D0B1D">
        <w:rPr>
          <w:color w:val="141516"/>
          <w:lang w:val="en-US"/>
        </w:rPr>
        <w:fldChar w:fldCharType="separate"/>
      </w:r>
      <w:r w:rsidR="003D1AEF">
        <w:rPr>
          <w:noProof/>
          <w:color w:val="141516"/>
          <w:lang w:val="en-US"/>
        </w:rPr>
        <w:t>(Bausch &amp; Hasselbring, 2004; Jacobsen et al., 2002; McGregor &amp; Pachuski, 1996; Messinger-Willman &amp; Marino, 2010; Schaaf, 2018; Starks &amp; Reich, 2023; Wirth et al., 1982)</w:t>
      </w:r>
      <w:r w:rsidR="008D0B1D">
        <w:rPr>
          <w:color w:val="141516"/>
          <w:lang w:val="en-US"/>
        </w:rPr>
        <w:fldChar w:fldCharType="end"/>
      </w:r>
      <w:r w:rsidR="007B423E">
        <w:rPr>
          <w:color w:val="141516"/>
          <w:lang w:val="en-US"/>
        </w:rPr>
        <w:t xml:space="preserve"> </w:t>
      </w:r>
      <w:r w:rsidRPr="009B686A">
        <w:rPr>
          <w:color w:val="141516"/>
          <w:lang w:val="en-US"/>
        </w:rPr>
        <w:t xml:space="preserve">underscoring the complexities of helping them overcome challenges and bring more of technology’s benefits to students </w:t>
      </w:r>
      <w:r w:rsidR="00DC2617">
        <w:rPr>
          <w:color w:val="141516"/>
          <w:lang w:val="en-US"/>
        </w:rPr>
        <w:fldChar w:fldCharType="begin"/>
      </w:r>
      <w:r w:rsidR="000938F5">
        <w:rPr>
          <w:color w:val="141516"/>
          <w:lang w:val="en-US"/>
        </w:rPr>
        <w:instrText xml:space="preserve"> ADDIN ZOTERO_ITEM CSL_CITATION {"citationID":"Bty3Rgep","properties":{"formattedCitation":"(Edyburn, 2013; Starks &amp; Reich, 2023)","plainCitation":"(Edyburn, 2013; Starks &amp; Reich, 2023)","noteIndex":0},"citationItems":[{"id":17623,"uris":["http://zotero.org/users/15409160/items/PRPZZKSF","http://zotero.org/users/15409160/items/9FTMUDJ5"],"itemData":{"id":17623,"type":"article-journal","abstract":"The field ofspecial education technology is devoted to a variety of activities that ultimately serve to augment, bypass, or compensate for a disability. Much like a kaleidoscope, perceptions ofthe field may be viewed through the reflection ofmultiple lenses. The three lenses of innovation: policy, and theory provide a mechanism for filtering, viewing, and using the special education technology research and practice knowledge base. This article examines characteristics ofthe emerging special education technology knowledge base when viewed through each ofthe three lenses. The intent is to provide readers with an analysis ofqualities found in the emerging special education knowledge base in order to highlight critical issues needed to advance the evidence base ofthe field through future research, theory, development, policy, andpractice.","container-title":"Exceptional Children","DOI":"10.1177/001440291308000107","ISSN":"0014-4029, 2163-5560","issue":"1","language":"en","license":"https://journals.sagepub.com/page/policies/text-and-data-mining-license","note":"publisher: SAGE Publications","page":"7-24","source":"Crossref","title":"Critical issues in advancing the special education technology evidence base","URL":"https://journals.sagepub.com/doi/10.1177/001440291308000107","volume":"80","author":[{"family":"Edyburn","given":"Dave L."}],"accessed":{"date-parts":[["2025",5,22]]},"issued":{"date-parts":[["2013",10]]},"citation-key":"edyburnCriticalIssuesAdvancing2013"}},{"id":11267,"uris":["http://zotero.org/users/15409160/items/ZXLDUXJ6"],"itemData":{"id":11267,"type":"article-journal","abstract":"Technology integration in school is an increasingly important equity issue, but little is known about how technology is used for teaching the 7 million K-12 special education students in the US (NCES, 2019). Though special education is often overlooked in technology integration research, what does exist suggests that technology use in schools often exacerbates opportunity gaps for students with disabilities (Ciampa, 2017; Dolan, 2016; Shaheen &amp; Watulak, 2019). The rapid shift to remote learning during the COVID-19 pandemic offers an opportunity to better explore enablers and barriers to technology-enabled learning for special education (SPED) because of the widespread reliance on technology for teaching and learning. Using in-depth interviews (N = 20) with special educators during remote learning, the present study seeks to (1) describe important enablers and barriers for SPED teacher use of technology in K-12 before and during remote learning, (2) understand how structural, teacher, and student-level factors influence SPED teachers’ opportunities for teaching with technology, and (3) highlight emerging problems for SPED populations in technology-enabled learning. Results suggest that the most prominent enablers and barriers for technology use in special education are structural (e.g., decision-making around teacher training and technology resources, structures for student digital literacy training), but manifest at the teacher and student levels. SPED teachers described significant barriers to providing accessible technology-enabled instruction, largely due to school-based structures for resource allocation, student digital literacy training, teacher training, decision-making for technology, SPED job roles, and home-school communication. Recommendations are made for providing high-quality digital learning for all students, especially students with diverse learning needs.","container-title":"Computers &amp; Education","DOI":"10.1016/j.compedu.2022.104665","ISSN":"0360-1315","journalAbbreviation":"Computers &amp; Education","language":"en","note":"TLDR: Results suggest that the most prominent enablers and barriers for technology use in special education are structural (e.g., decision-making around teacher training and technology resources, structures for student digital literacy training), but manifest at the teacher and student levels.","page":"104665","source":"ScienceDirect","title":"“What about special ed?“: Barriers and enablers for teaching with technology in special education","title-short":"“What about special ed?","URL":"https://www.sciencedirect.com/science/article/pii/S0360131522002366","volume":"193","author":[{"family":"Starks","given":"Allison C."},{"family":"Reich","given":"Stephanie M."}],"accessed":{"date-parts":[["2024",12,6]]},"issued":{"date-parts":[["2023",2,1]]},"citation-key":"starksWhatSpecialEd2023"}}],"schema":"https://github.com/citation-style-language/schema/raw/master/csl-citation.json"} </w:instrText>
      </w:r>
      <w:r w:rsidR="00DC2617">
        <w:rPr>
          <w:color w:val="141516"/>
          <w:lang w:val="en-US"/>
        </w:rPr>
        <w:fldChar w:fldCharType="separate"/>
      </w:r>
      <w:r w:rsidR="005E0BAA">
        <w:rPr>
          <w:noProof/>
          <w:color w:val="141516"/>
          <w:lang w:val="en-US"/>
        </w:rPr>
        <w:t>(Edyburn, 2013; Starks &amp; Reich, 2023)</w:t>
      </w:r>
      <w:r w:rsidR="00DC2617">
        <w:rPr>
          <w:color w:val="141516"/>
          <w:lang w:val="en-US"/>
        </w:rPr>
        <w:fldChar w:fldCharType="end"/>
      </w:r>
      <w:r w:rsidRPr="009B686A">
        <w:rPr>
          <w:color w:val="141516"/>
          <w:lang w:val="en-US"/>
        </w:rPr>
        <w:t xml:space="preserve">. One framework for examining the barriers to ET implementation is </w:t>
      </w:r>
      <w:r w:rsidR="002C435D">
        <w:rPr>
          <w:color w:val="141516"/>
          <w:lang w:val="en-US"/>
        </w:rPr>
        <w:t xml:space="preserve">Ertmer’s </w:t>
      </w:r>
      <w:r w:rsidR="005E0BAA">
        <w:rPr>
          <w:color w:val="141516"/>
          <w:lang w:val="en-US"/>
        </w:rPr>
        <w:fldChar w:fldCharType="begin"/>
      </w:r>
      <w:r w:rsidR="00480DD4">
        <w:rPr>
          <w:color w:val="141516"/>
          <w:lang w:val="en-US"/>
        </w:rPr>
        <w:instrText xml:space="preserve"> ADDIN ZOTERO_ITEM CSL_CITATION {"citationID":"0K0Yq7gZ","properties":{"formattedCitation":"(1999)","plainCitation":"(1999)","noteIndex":0},"citationItems":[{"id":17610,"uris":["http://zotero.org/users/15409160/items/LM7PQCYR","http://zotero.org/users/15409160/items/4QIQXMIT"],"itemData":{"id":17610,"type":"article-journal","abstract":"Although teachers today recognize the importance of integrating technology into their curricula, efforts are often limited by both external (first-order) and internal (second-order) barriers. Traditionally, technology training, for both preservice and inservice teachers, has focused on helping teachers overcome first-order barriers (e.g., acquiring technical skills needed to operate a computer). More recently, training programs have incorporated pedagogical models of technology use as one means of addressing second-order barriers. However, little discussion has occurred that clarifies the relationship between these different types of barriers or that delineates effective strategies for addressing different barriers. If pre- and inservice teachers are to become effective users of technology, they will need practical strategies for dealing with the different types of barriers they will face. In this paper, I discuss the relationship between first- and second-order barriers and then describe specific strategies for circumventing, overcoming, and eliminating the changing barriers teachers face as they work to achieve technology integration.","container-title":"Educational Technology Research and Development","DOI":"10.1007/bf02299597","ISSN":"1042-1629, 1556-6501","issue":"4","journalAbbreviation":"ETR&amp;D","language":"en","license":"http://www.springer.com/tdm","note":"publisher: Springer Science and Business Media LLC","page":"47-61","source":"Crossref","title":"Addressing first- and second-order barriers to change: Strategies for technology integration","title-short":"Addressing first- and second-order barriers to change","URL":"http://link.springer.com/10.1007/BF02299597","volume":"47","author":[{"family":"Ertmer","given":"Peggy A"}],"accessed":{"date-parts":[["2025",5,22]]},"issued":{"date-parts":[["1999",12]]},"citation-key":"ertmerAddressingFirstSecondorder1999"},"suppress-author":true}],"schema":"https://github.com/citation-style-language/schema/raw/master/csl-citation.json"} </w:instrText>
      </w:r>
      <w:r w:rsidR="005E0BAA">
        <w:rPr>
          <w:color w:val="141516"/>
          <w:lang w:val="en-US"/>
        </w:rPr>
        <w:fldChar w:fldCharType="separate"/>
      </w:r>
      <w:r w:rsidR="002C435D">
        <w:rPr>
          <w:noProof/>
          <w:color w:val="141516"/>
          <w:lang w:val="en-US"/>
        </w:rPr>
        <w:t>(1999)</w:t>
      </w:r>
      <w:r w:rsidR="005E0BAA">
        <w:rPr>
          <w:color w:val="141516"/>
          <w:lang w:val="en-US"/>
        </w:rPr>
        <w:fldChar w:fldCharType="end"/>
      </w:r>
      <w:r w:rsidRPr="009B686A">
        <w:rPr>
          <w:color w:val="141516"/>
          <w:lang w:val="en-US"/>
        </w:rPr>
        <w:t xml:space="preserve"> classification of barriers into orders. Ertmer has updated their framework multiple times since, as further research has tried to understand</w:t>
      </w:r>
      <w:r w:rsidR="004624D1">
        <w:rPr>
          <w:color w:val="141516"/>
          <w:lang w:val="en-US"/>
        </w:rPr>
        <w:t xml:space="preserve"> further</w:t>
      </w:r>
      <w:r w:rsidRPr="009B686A">
        <w:rPr>
          <w:color w:val="141516"/>
          <w:lang w:val="en-US"/>
        </w:rPr>
        <w:t xml:space="preserve"> and overcome the </w:t>
      </w:r>
      <w:r w:rsidR="004624D1">
        <w:rPr>
          <w:color w:val="141516"/>
          <w:lang w:val="en-US"/>
        </w:rPr>
        <w:t>obstacle</w:t>
      </w:r>
      <w:r w:rsidRPr="009B686A">
        <w:rPr>
          <w:color w:val="141516"/>
          <w:lang w:val="en-US"/>
        </w:rPr>
        <w:t xml:space="preserve">s of each order </w:t>
      </w:r>
      <w:r w:rsidR="000A1770">
        <w:rPr>
          <w:color w:val="141516"/>
          <w:lang w:val="en-US"/>
        </w:rPr>
        <w:fldChar w:fldCharType="begin"/>
      </w:r>
      <w:r w:rsidR="000938F5">
        <w:rPr>
          <w:color w:val="141516"/>
          <w:lang w:val="en-US"/>
        </w:rPr>
        <w:instrText xml:space="preserve"> ADDIN ZOTERO_ITEM CSL_CITATION {"citationID":"VsKODDE7","properties":{"formattedCitation":"(Ertmer, 1999, 2005; Ertmer et al., 2012; Ottenbreit-Leftwich et al., 2010)","plainCitation":"(Ertmer, 1999, 2005; Ertmer et al., 2012; Ottenbreit-Leftwich et al., 2010)","noteIndex":0},"citationItems":[{"id":17633,"uris":["http://zotero.org/users/15409160/items/CBXMNQ5B","http://zotero.org/users/15409160/items/XAUJFICJ"],"itemData":{"id":17633,"type":"article-journal","abstract":"Although the conditions for successful technology integration finally appear to be in place, including ready access to technology,\nincreased training for teachers, and a favorable policy environment, high-level technology use is still surprisingly low.\nThis suggests that additional barriers, specifically related to teachers' pedagogical beliefs, may be at work. Previous researchers\nhave noted the influence of teachers' beliefs on classroom instruction specifically in math, reading, and science, yet little\nresearch has been done to establish a similar link to teachers' classroom uses of technology. In this article, I argue for\nthe importance of such research and present a conceptual overview of teacher pedagogial beliefs as a vital first step. After\ndefining and describing the nature of teacher beliefs, including how they are likely to impact teachers' classroom practice\nI describe important implications for teacher professional development and offer suggestions for future research.","container-title":"Educational Technology Research and Development","DOI":"10.1007/bf02504683","ISSN":"1042-1629, 1556-6501","issue":"4","journalAbbreviation":"ETR&amp;D","language":"en","license":"http://www.springer.com/tdm","note":"publisher: Springer Science and Business Media LLC","page":"25-39","source":"Crossref","title":"Teacher pedagogical beliefs: The final frontier in our quest for technology integration?","title-short":"Teacher pedagogical beliefs","URL":"http://link.springer.com/10.1007/BF02504683","volume":"53","author":[{"family":"Ertmer","given":"Peggy A"}],"accessed":{"date-parts":[["2025",5,22]]},"issued":{"date-parts":[["2005",12]]},"citation-key":"ertmerTeacherPedagogicalBeliefs2005"}},{"id":17610,"uris":["http://zotero.org/users/15409160/items/LM7PQCYR","http://zotero.org/users/15409160/items/4QIQXMIT"],"itemData":{"id":17610,"type":"article-journal","abstract":"Although teachers today recognize the importance of integrating technology into their curricula, efforts are often limited by both external (first-order) and internal (second-order) barriers. Traditionally, technology training, for both preservice and inservice teachers, has focused on helping teachers overcome first-order barriers (e.g., acquiring technical skills needed to operate a computer). More recently, training programs have incorporated pedagogical models of technology use as one means of addressing second-order barriers. However, little discussion has occurred that clarifies the relationship between these different types of barriers or that delineates effective strategies for addressing different barriers. If pre- and inservice teachers are to become effective users of technology, they will need practical strategies for dealing with the different types of barriers they will face. In this paper, I discuss the relationship between first- and second-order barriers and then describe specific strategies for circumventing, overcoming, and eliminating the changing barriers teachers face as they work to achieve technology integration.","container-title":"Educational Technology Research and Development","DOI":"10.1007/bf02299597","ISSN":"1042-1629, 1556-6501","issue":"4","journalAbbreviation":"ETR&amp;D","language":"en","license":"http://www.springer.com/tdm","note":"publisher: Springer Science and Business Media LLC","page":"47-61","source":"Crossref","title":"Addressing first- and second-order barriers to change: Strategies for technology integration","title-short":"Addressing first- and second-order barriers to change","URL":"http://link.springer.com/10.1007/BF02299597","volume":"47","author":[{"family":"Ertmer","given":"Peggy A"}],"accessed":{"date-parts":[["2025",5,22]]},"issued":{"date-parts":[["1999",12]]},"citation-key":"ertmerAddressingFirstSecondorder1999"}},{"id":10028,"uris":["http://zotero.org/users/15409160/items/Y3W4TPG6"],"itemData":{"id":10028,"type":"article-journal","abstract":"Early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id":267,"uris":["http://zotero.org/users/15409160/items/768VVPKS"],"itemData":{"id":267,"type":"article-journal","abstract":"With technology rapidly changing, preservice teacher technology skills improving, and highly qualified teacher licensure requirements, more teacher education programs may need to reevaluate how they are currently teaching technology. Although no empirical evidence recognizes the most effective experience, previous studies have indicated the affordances and limitations of various experiences, as well as which experiences may be the most appropriate in specific situations. Our review of over 100 programs led to the construction of a conceptual guide for teacher education faculty considering various experiences. The guide assists in the selection of the most appropriate learning experiences in order to achieve the specific intended goals of the faculty member. The conceptual guide addresses three main elements of technology experiences: approaches (information delivery, hands-on activities, practice in the field, observation or modeling, authentic experiences, and reflection), technology content goals (e.g., NETS-T standards), and the broader context (e.g., stand-alone course, full implementation). [PUBLICATION ABSTRACT]","archive":"Research Library","archive_location":"744455237","container-title":"Journal of Technology and Teacher Education","ISSN":"10597069","issue":"1","language":"English","note":"publisher-place: Norfolk\npublisher: Association for the Advancement of Computing in Education","page":"5","title":"Preservice technology integration course revision: a conceptual guide","volume":"18","author":[{"family":"Ottenbreit-Leftwich","given":"Anne"},{"family":"Glazewski","given":"Krista"},{"family":"Newby","given":"Timothy"}],"issued":{"date-parts":[["2010",1]]},"citation-key":"ottenbreit-leftwichPreserviceTechnologyIntegration2010"}}],"schema":"https://github.com/citation-style-language/schema/raw/master/csl-citation.json"} </w:instrText>
      </w:r>
      <w:r w:rsidR="000A1770">
        <w:rPr>
          <w:color w:val="141516"/>
          <w:lang w:val="en-US"/>
        </w:rPr>
        <w:fldChar w:fldCharType="separate"/>
      </w:r>
      <w:r w:rsidR="00480DD4">
        <w:rPr>
          <w:noProof/>
          <w:color w:val="141516"/>
          <w:lang w:val="en-US"/>
        </w:rPr>
        <w:t>(Ertmer, 1999, 2005; Ertmer et al., 2012; Ottenbreit-Leftwich et al., 2010)</w:t>
      </w:r>
      <w:r w:rsidR="000A1770">
        <w:rPr>
          <w:color w:val="141516"/>
          <w:lang w:val="en-US"/>
        </w:rPr>
        <w:fldChar w:fldCharType="end"/>
      </w:r>
    </w:p>
    <w:p w14:paraId="5B6C4E05" w14:textId="0647668F" w:rsidR="00A23666" w:rsidRDefault="00A23666" w:rsidP="00A23666">
      <w:pPr>
        <w:tabs>
          <w:tab w:val="left" w:pos="1440"/>
          <w:tab w:val="left" w:pos="2160"/>
          <w:tab w:val="left" w:pos="2880"/>
        </w:tabs>
        <w:spacing w:line="480" w:lineRule="auto"/>
        <w:ind w:firstLine="720"/>
      </w:pPr>
      <w:r w:rsidRPr="009B686A">
        <w:rPr>
          <w:color w:val="141516"/>
          <w:lang w:val="en-US"/>
        </w:rPr>
        <w:lastRenderedPageBreak/>
        <w:t xml:space="preserve">First-order barriers refer to obstacles external to teachers, such as insufficient resources, access, time, and support </w:t>
      </w:r>
      <w:r w:rsidR="00630A8B">
        <w:rPr>
          <w:color w:val="141516"/>
          <w:lang w:val="en-US"/>
        </w:rPr>
        <w:fldChar w:fldCharType="begin"/>
      </w:r>
      <w:r w:rsidR="00480DD4">
        <w:rPr>
          <w:color w:val="141516"/>
          <w:lang w:val="en-US"/>
        </w:rPr>
        <w:instrText xml:space="preserve"> ADDIN ZOTERO_ITEM CSL_CITATION {"citationID":"PPzH8Pgh","properties":{"formattedCitation":"(Ertmer, 1999; Hew &amp; Brush, 2007)","plainCitation":"(Ertmer, 1999; Hew &amp; Brush, 2007)","noteIndex":0},"citationItems":[{"id":17610,"uris":["http://zotero.org/users/15409160/items/LM7PQCYR","http://zotero.org/users/15409160/items/4QIQXMIT"],"itemData":{"id":17610,"type":"article-journal","abstract":"Although teachers today recognize the importance of integrating technology into their curricula, efforts are often limited by both external (first-order) and internal (second-order) barriers. Traditionally, technology training, for both preservice and inservice teachers, has focused on helping teachers overcome first-order barriers (e.g., acquiring technical skills needed to operate a computer). More recently, training programs have incorporated pedagogical models of technology use as one means of addressing second-order barriers. However, little discussion has occurred that clarifies the relationship between these different types of barriers or that delineates effective strategies for addressing different barriers. If pre- and inservice teachers are to become effective users of technology, they will need practical strategies for dealing with the different types of barriers they will face. In this paper, I discuss the relationship between first- and second-order barriers and then describe specific strategies for circumventing, overcoming, and eliminating the changing barriers teachers face as they work to achieve technology integration.","container-title":"Educational Technology Research and Development","DOI":"10.1007/bf02299597","ISSN":"1042-1629, 1556-6501","issue":"4","journalAbbreviation":"ETR&amp;D","language":"en","license":"http://www.springer.com/tdm","note":"publisher: Springer Science and Business Media LLC","page":"47-61","source":"Crossref","title":"Addressing first- and second-order barriers to change: Strategies for technology integration","title-short":"Addressing first- and second-order barriers to change","URL":"http://link.springer.com/10.1007/BF02299597","volume":"47","author":[{"family":"Ertmer","given":"Peggy A"}],"accessed":{"date-parts":[["2025",5,22]]},"issued":{"date-parts":[["1999",12]]},"citation-key":"ertmerAddressingFirstSecondorder1999"}},{"id":17649,"uris":["http://zotero.org/users/15409160/items/2C6T6FIK","http://zotero.org/users/15409160/items/ANZIKKYT"],"itemData":{"id":17649,"type":"article-journal","abstract":"Although research studies in education show that use of technology can help student learning, its use is generally affected by certain barriers. In this paper, we first identify the general barriers typically faced by K-12 schools, both in the United States as well as other countries, when integrating technology into the curriculum for instructional purposes, namely: (a) resources, (b) institution, (c) subject culture, (d) attitudes and beliefs, (e) knowledge and skills, and (f) assessment. We then describe the strategies to overcome such barriers: (a) having a shared vision and technology integration plan, (b) overcoming the scarcity of resources, (c) changing attitudes and beliefs, (d) conducting professional development, and (e) reconsidering assessments. Finally, we identify several current knowledge gaps pertaining to the barriers and strategies of technology integration, and offer pertinent recommendations for future research.","container-title":"Educational Technology Research and Development","DOI":"10.1007/s11423-006-9022-5","ISSN":"1042-1629, 1556-6501","issue":"3","journalAbbreviation":"Education Tech Research Dev","language":"en","license":"https://www.springer.com/tdm","note":"publisher: Springer Science and Business Media LLC","page":"223-252","source":"Crossref","title":"Integrating technology into K-12 teaching and learning: current knowledge gaps and recommendations for future research","title-short":"Integrating technology into K-12 teaching and learning","URL":"https://link.springer.com/10.1007/s11423-006-9022-5","volume":"55","author":[{"family":"Hew","given":"Khe Foon"},{"family":"Brush","given":"Thomas"}],"accessed":{"date-parts":[["2025",5,22]]},"issued":{"date-parts":[["2007",6]]},"citation-key":"hewIntegratingTechnologyK122007"}}],"schema":"https://github.com/citation-style-language/schema/raw/master/csl-citation.json"} </w:instrText>
      </w:r>
      <w:r w:rsidR="00630A8B">
        <w:rPr>
          <w:color w:val="141516"/>
          <w:lang w:val="en-US"/>
        </w:rPr>
        <w:fldChar w:fldCharType="separate"/>
      </w:r>
      <w:r w:rsidR="00480DD4">
        <w:rPr>
          <w:noProof/>
          <w:color w:val="141516"/>
          <w:lang w:val="en-US"/>
        </w:rPr>
        <w:t>(Ertmer, 1999; Hew &amp; Brush, 2007)</w:t>
      </w:r>
      <w:r w:rsidR="00630A8B">
        <w:rPr>
          <w:color w:val="141516"/>
          <w:lang w:val="en-US"/>
        </w:rPr>
        <w:fldChar w:fldCharType="end"/>
      </w:r>
      <w:r w:rsidRPr="009B686A">
        <w:rPr>
          <w:color w:val="141516"/>
          <w:lang w:val="en-US"/>
        </w:rPr>
        <w:t xml:space="preserve">. Despite infrastructure improvements, special education settings still face these practical constraints. Teachers </w:t>
      </w:r>
      <w:r w:rsidR="005E58FC" w:rsidRPr="009B686A">
        <w:rPr>
          <w:color w:val="141516"/>
          <w:lang w:val="en-US"/>
        </w:rPr>
        <w:t>often</w:t>
      </w:r>
      <w:r w:rsidRPr="009B686A">
        <w:rPr>
          <w:color w:val="141516"/>
          <w:lang w:val="en-US"/>
        </w:rPr>
        <w:t xml:space="preserve"> report a lack of up-to-date devices, unreliable internet connectivity, and limited technical support, which directly hinder integration of ET </w:t>
      </w:r>
      <w:r w:rsidR="005E58FC">
        <w:rPr>
          <w:color w:val="141516"/>
          <w:lang w:val="en-US"/>
        </w:rPr>
        <w:fldChar w:fldCharType="begin"/>
      </w:r>
      <w:r w:rsidR="000938F5">
        <w:rPr>
          <w:color w:val="141516"/>
          <w:lang w:val="en-US"/>
        </w:rPr>
        <w:instrText xml:space="preserve"> ADDIN ZOTERO_ITEM CSL_CITATION {"citationID":"lIRpjeZm","properties":{"formattedCitation":"(Etscheidt, 2016; Hew &amp; Brush, 2007)","plainCitation":"(Etscheidt, 2016; Hew &amp; Brush, 2007)","noteIndex":0},"citationItems":[{"id":1584,"uris":["http://zotero.org/users/15409160/items/3JS4YFTF"],"itemData":{"id":1584,"type":"article-journal","abstract":"Individualized Education Program (IEP) teams are required by the Individuals with Disabilities Education Act (IDEA) to consider a student’s need for assistive technology (AT). Despite this legal requirement, AT supports are often not available to students with disabilities. Many students with disabilities and their families have addressed the failure to consider and provide AT supports through litigation. The purpose of this article is to examine the case law pertaining to the assessment, selection, and provision of AT learning supports for students with disabilities. A legal analysis was conducted to determine litigation themes. Based on these results, several recommendations for IEP teams are proposed.","container-title":"Journal of Special Education Technology","DOI":"10.1177/0162643416673912","ISSN":"0162-6434","issue":"4","journalAbbreviation":"J Spec Educ Technol","language":"en","note":"publisher: SAGE Publications Inc","page":"183-194","source":"SAGE Journals","title":"Assistive technology for students with disabilities: a legal analysis of issues","title-short":"Assistive technology for students with disabilities","URL":"https://doi.org/10.1177/0162643416673912","volume":"31","author":[{"family":"Etscheidt","given":"Susan Larson"}],"accessed":{"date-parts":[["2024",10,19]]},"issued":{"date-parts":[["2016",12,1]]},"citation-key":"etscheidtAssistiveTechnologyStudents2016"}},{"id":17649,"uris":["http://zotero.org/users/15409160/items/2C6T6FIK","http://zotero.org/users/15409160/items/ANZIKKYT"],"itemData":{"id":17649,"type":"article-journal","abstract":"Although research studies in education show that use of technology can help student learning, its use is generally affected by certain barriers. In this paper, we first identify the general barriers typically faced by K-12 schools, both in the United States as well as other countries, when integrating technology into the curriculum for instructional purposes, namely: (a) resources, (b) institution, (c) subject culture, (d) attitudes and beliefs, (e) knowledge and skills, and (f) assessment. We then describe the strategies to overcome such barriers: (a) having a shared vision and technology integration plan, (b) overcoming the scarcity of resources, (c) changing attitudes and beliefs, (d) conducting professional development, and (e) reconsidering assessments. Finally, we identify several current knowledge gaps pertaining to the barriers and strategies of technology integration, and offer pertinent recommendations for future research.","container-title":"Educational Technology Research and Development","DOI":"10.1007/s11423-006-9022-5","ISSN":"1042-1629, 1556-6501","issue":"3","journalAbbreviation":"Education Tech Research Dev","language":"en","license":"https://www.springer.com/tdm","note":"publisher: Springer Science and Business Media LLC","page":"223-252","source":"Crossref","title":"Integrating technology into K-12 teaching and learning: current knowledge gaps and recommendations for future research","title-short":"Integrating technology into K-12 teaching and learning","URL":"https://link.springer.com/10.1007/s11423-006-9022-5","volume":"55","author":[{"family":"Hew","given":"Khe Foon"},{"family":"Brush","given":"Thomas"}],"accessed":{"date-parts":[["2025",5,22]]},"issued":{"date-parts":[["2007",6]]},"citation-key":"hewIntegratingTechnologyK122007"}}],"schema":"https://github.com/citation-style-language/schema/raw/master/csl-citation.json"} </w:instrText>
      </w:r>
      <w:r w:rsidR="005E58FC">
        <w:rPr>
          <w:color w:val="141516"/>
          <w:lang w:val="en-US"/>
        </w:rPr>
        <w:fldChar w:fldCharType="separate"/>
      </w:r>
      <w:r w:rsidR="005E58FC">
        <w:rPr>
          <w:noProof/>
          <w:color w:val="141516"/>
          <w:lang w:val="en-US"/>
        </w:rPr>
        <w:t>(Etscheidt, 2016; Hew &amp; Brush, 2007)</w:t>
      </w:r>
      <w:r w:rsidR="005E58FC">
        <w:rPr>
          <w:color w:val="141516"/>
          <w:lang w:val="en-US"/>
        </w:rPr>
        <w:fldChar w:fldCharType="end"/>
      </w:r>
      <w:r w:rsidRPr="009B686A">
        <w:rPr>
          <w:color w:val="141516"/>
          <w:lang w:val="en-US"/>
        </w:rPr>
        <w:t xml:space="preserve">. Notably, inadequate training and </w:t>
      </w:r>
      <w:r w:rsidR="008A2823">
        <w:rPr>
          <w:color w:val="141516"/>
          <w:lang w:val="en-US"/>
        </w:rPr>
        <w:t>PD</w:t>
      </w:r>
      <w:r w:rsidRPr="009B686A">
        <w:rPr>
          <w:color w:val="141516"/>
          <w:lang w:val="en-US"/>
        </w:rPr>
        <w:t xml:space="preserve"> are a pervasive first-order barrier. Without ongoing learning opportunities, teachers feel unprepared to use available technology effectively </w:t>
      </w:r>
      <w:r w:rsidR="005E58FC">
        <w:rPr>
          <w:color w:val="141516"/>
          <w:lang w:val="en-US"/>
        </w:rPr>
        <w:fldChar w:fldCharType="begin"/>
      </w:r>
      <w:r w:rsidR="00033DFF">
        <w:rPr>
          <w:color w:val="141516"/>
          <w:lang w:val="en-US"/>
        </w:rPr>
        <w:instrText xml:space="preserve"> ADDIN ZOTERO_ITEM CSL_CITATION {"citationID":"AdQWy4Th","properties":{"formattedCitation":"(Alharbi, 2018; Hsu, 2016)","plainCitation":"(Alharbi, 2018; Hsu, 2016)","noteIndex":0},"citationItems":[{"id":16210,"uris":["http://zotero.org/users/15409160/items/Y2C2DAC2"],"itemData":{"id":16210,"type":"thesis","abstract":"Studies indicate that there needs to be increase knowledge and use of assistive technology for elementary special education teachers’ in order to help students with disabilities accessing to learning materials and general education curriculums in inclusive setting. This study was designed to investigate the knowledge and use of assistive technology by elementary special education teachers in inclusive classrooms in Saudi Arabia. The sample of this study was 346 elementary special education teachers at The Ministry of Education from different regions in Saudi Arabia. This study is descriptive and inferential study in nature and uses quantitative method to collect and analysis data. The study found that the teachers in this study have room to improve upon their knowledge and use of assistive technology. profiles based on overall, the elementary special education teachers have lack of knowledge and use of assistive technology. According to multivariance analysis results, the assumptions for the MANOVA were met and the analysis showed only one main effect, which was age. However, this effect was small, as there was only one group difference and the effect did not hold up for the univariate between-subject’s tests. Also, the result showed that, there are no differences in knowledge and use of assistive technology related to age, gender, qualifications, teaching experience, and types of disabilities. Those results will help the policy makers at The Ministry of Education to understanding the state of knowledge and use of assistive technology to establish the level at which special education teachers are ready to adopt and implement the use of the assistive technology in their teaching exercises. In conclusion, The Ministry of Education should establish professional development programs for special education teachers and there are some recommendations for practices in this study to develop elementary special education teachers’ knowledge and use of assistive technology.","archive":"APA PsycInfo®","archive_location":"2108008033; 2018-40525-018","event-place":"United States -- Missouri","genre":"Ph.D.","language":"English","license":"Database copyright ProQuest LLC; ProQuest does not claim copyright in the individual underlying works.","note":"ISBN: 9780438127623","number-of-pages":"140","publisher":"Saint Louis University","publisher-place":"United States -- Missouri","source":"ProQuest","title":"Special education teachers' knowledge and use of assistive technology for inclusive classrooms in Saudi Arabia","URL":"https://www.proquest.com/docview/2070503070/abstract/5E8E7FC75F7744F1PQ/1","author":[{"family":"Alharbi","given":"Sami Abdullah"}],"accessed":{"date-parts":[["2025",2,18]]},"issued":{"date-parts":[["2018"]]},"citation-key":"alharbiSpecialEducationTeachers2018"}},{"id":10030,"uris":["http://zotero.org/users/15409160/items/KBUHCXYQ"],"itemData":{"id":10030,"type":"article-journal","abstract":"The purpose of this mixed-methods study was to examine the current beliefs, practices and barriers concerning technology integration of Kindergarten through Grade Six teachers in the midwestern United States. The three data collection methods were online surveys with 152 teachers as well as interviews and observations with 8 teachers. The findings indicated that a majority of the teachers held constructivist pedagogical beliefs about technology integration. This study found that the teachers who held constructivist pedagogical beliefs about technology use had high self-efficacy beliefs about technology use, placed positive value on the use of technology, and had two or more practices of high-level learning in their lessons. Language arts was the subject that gained the most attention for technology integration. Four barriers were students’ lack of computer skills, teachers’ lack of training in technology, teachers’ lack of time to implement technology-integrated lessons, and teachers’ lack of technical support.","container-title":"TechTrends","DOI":"10.1007/s11528-015-0014-3","ISSN":"1559-7075","issue":"1","journalAbbreviation":"TechTrends","language":"en","note":"TLDR: This study found that the teachers who held constructivist pedagogical beliefs about technology use had high self-efficacy beliefs abouttechnology use, placed positive value on the use of technology, and had two or more practices of high-level learning in their lessons.","page":"30-40","source":"Springer Link","title":"Examining current beliefs, practices and barriers about technology integration: a case study","title-short":"Examining current beliefs, practices and barriers about technology integration","URL":"https://doi.org/10.1007/s11528-015-0014-3","volume":"60","author":[{"family":"Hsu","given":"Pi-Sui"}],"accessed":{"date-parts":[["2024",11,15]]},"issued":{"date-parts":[["2016",1,1]]},"citation-key":"hsuExaminingCurrentBeliefs2016"}}],"schema":"https://github.com/citation-style-language/schema/raw/master/csl-citation.json"} </w:instrText>
      </w:r>
      <w:r w:rsidR="005E58FC">
        <w:rPr>
          <w:color w:val="141516"/>
          <w:lang w:val="en-US"/>
        </w:rPr>
        <w:fldChar w:fldCharType="separate"/>
      </w:r>
      <w:r w:rsidR="00271B63">
        <w:rPr>
          <w:noProof/>
          <w:color w:val="141516"/>
          <w:lang w:val="en-US"/>
        </w:rPr>
        <w:t>(Alharbi, 2018; Hsu, 2016)</w:t>
      </w:r>
      <w:r w:rsidR="005E58FC">
        <w:rPr>
          <w:color w:val="141516"/>
          <w:lang w:val="en-US"/>
        </w:rPr>
        <w:fldChar w:fldCharType="end"/>
      </w:r>
      <w:r w:rsidRPr="009B686A">
        <w:rPr>
          <w:color w:val="141516"/>
          <w:lang w:val="en-US"/>
        </w:rPr>
        <w:t xml:space="preserve">. Over 75% of special educators described themselves as inadequately prepared to integrate assistive technology into the classroom </w:t>
      </w:r>
      <w:r w:rsidR="00271B63">
        <w:rPr>
          <w:color w:val="141516"/>
          <w:lang w:val="en-US"/>
        </w:rPr>
        <w:fldChar w:fldCharType="begin"/>
      </w:r>
      <w:r w:rsidR="00033DFF">
        <w:rPr>
          <w:color w:val="141516"/>
          <w:lang w:val="en-US"/>
        </w:rPr>
        <w:instrText xml:space="preserve"> ADDIN ZOTERO_ITEM CSL_CITATION {"citationID":"RoSFM6Ev","properties":{"formattedCitation":"(Alharbi, 2018; Alkahtani, 2013)","plainCitation":"(Alharbi, 2018; Alkahtani, 2013)","noteIndex":0},"citationItems":[{"id":16210,"uris":["http://zotero.org/users/15409160/items/Y2C2DAC2"],"itemData":{"id":16210,"type":"thesis","abstract":"Studies indicate that there needs to be increase knowledge and use of assistive technology for elementary special education teachers’ in order to help students with disabilities accessing to learning materials and general education curriculums in inclusive setting. This study was designed to investigate the knowledge and use of assistive technology by elementary special education teachers in inclusive classrooms in Saudi Arabia. The sample of this study was 346 elementary special education teachers at The Ministry of Education from different regions in Saudi Arabia. This study is descriptive and inferential study in nature and uses quantitative method to collect and analysis data. The study found that the teachers in this study have room to improve upon their knowledge and use of assistive technology. profiles based on overall, the elementary special education teachers have lack of knowledge and use of assistive technology. According to multivariance analysis results, the assumptions for the MANOVA were met and the analysis showed only one main effect, which was age. However, this effect was small, as there was only one group difference and the effect did not hold up for the univariate between-subject’s tests. Also, the result showed that, there are no differences in knowledge and use of assistive technology related to age, gender, qualifications, teaching experience, and types of disabilities. Those results will help the policy makers at The Ministry of Education to understanding the state of knowledge and use of assistive technology to establish the level at which special education teachers are ready to adopt and implement the use of the assistive technology in their teaching exercises. In conclusion, The Ministry of Education should establish professional development programs for special education teachers and there are some recommendations for practices in this study to develop elementary special education teachers’ knowledge and use of assistive technology.","archive":"APA PsycInfo®","archive_location":"2108008033; 2018-40525-018","event-place":"United States -- Missouri","genre":"Ph.D.","language":"English","license":"Database copyright ProQuest LLC; ProQuest does not claim copyright in the individual underlying works.","note":"ISBN: 9780438127623","number-of-pages":"140","publisher":"Saint Louis University","publisher-place":"United States -- Missouri","source":"ProQuest","title":"Special education teachers' knowledge and use of assistive technology for inclusive classrooms in Saudi Arabia","URL":"https://www.proquest.com/docview/2070503070/abstract/5E8E7FC75F7744F1PQ/1","author":[{"family":"Alharbi","given":"Sami Abdullah"}],"accessed":{"date-parts":[["2025",2,18]]},"issued":{"date-parts":[["2018"]]},"citation-key":"alharbiSpecialEducationTeachers2018"}},{"id":17653,"uris":["http://zotero.org/users/15409160/items/A6XPUK6B","http://zotero.org/users/15409160/items/STS5D4RU"],"itemData":{"id":17653,"type":"article-journal","abstract":"Students with disabilities face many challenges in learning and assistive technology can be a potential aid for compensating for their educational needs. The purpose of this research was to gather information about assistive technology knowledge and skills among teachers. Data were collected from one hundred and twenty-seven participants via a self reporting questionnaire. Interviews were also used with three participants to gather data of greater breadth and depth to the analysis of the data gathered from the survey. Results suggested that teachers do not have adequate level of knowledge and skills of using assistive technology. Teachers, then, should have pre-service and in-service training to increase their overall knowledge of implementing assistive technology and using universal design for learning for students with disabilities.","container-title":"Journal of Studies in Education","DOI":"10.5296/jse.v3i2.3424","ISSN":"2162-6952","issue":"2","journalAbbreviation":"JSE","language":"en","note":"publisher: Macrothink Institute, Inc.","page":"65-86","source":"Crossref","title":"Teachers’ knowledge and use of assistive technology for students with special educational needs","URL":"http://www.macrothink.org/journal/index.php/jse/article/view/3424","volume":"3","author":[{"family":"Alkahtani","given":"Keetam D. F."}],"accessed":{"date-parts":[["2025",5,22]]},"issued":{"date-parts":[["2013",4,6]]},"citation-key":"alkahtaniTeachersKnowledgeUse2013"}}],"schema":"https://github.com/citation-style-language/schema/raw/master/csl-citation.json"} </w:instrText>
      </w:r>
      <w:r w:rsidR="00271B63">
        <w:rPr>
          <w:color w:val="141516"/>
          <w:lang w:val="en-US"/>
        </w:rPr>
        <w:fldChar w:fldCharType="separate"/>
      </w:r>
      <w:r w:rsidR="00843C98">
        <w:rPr>
          <w:noProof/>
          <w:color w:val="141516"/>
          <w:lang w:val="en-US"/>
        </w:rPr>
        <w:t>(Alharbi, 2018; Alkahtani, 2013)</w:t>
      </w:r>
      <w:r w:rsidR="00271B63">
        <w:rPr>
          <w:color w:val="141516"/>
          <w:lang w:val="en-US"/>
        </w:rPr>
        <w:fldChar w:fldCharType="end"/>
      </w:r>
      <w:r w:rsidRPr="009B686A">
        <w:rPr>
          <w:color w:val="141516"/>
          <w:lang w:val="en-US"/>
        </w:rPr>
        <w:t xml:space="preserve">. Such findings underscore that </w:t>
      </w:r>
      <w:r w:rsidR="008A2823">
        <w:rPr>
          <w:color w:val="141516"/>
          <w:lang w:val="en-US"/>
        </w:rPr>
        <w:t>PD</w:t>
      </w:r>
      <w:r w:rsidRPr="009B686A">
        <w:rPr>
          <w:color w:val="141516"/>
          <w:lang w:val="en-US"/>
        </w:rPr>
        <w:t xml:space="preserve"> (or the lack thereof) underlies many first-order issues: teachers need time and training to acquire the skills to utilize technology, especially in special education, where devices and software may be specialized </w:t>
      </w:r>
      <w:r w:rsidR="00843C98">
        <w:rPr>
          <w:color w:val="141516"/>
          <w:lang w:val="en-US"/>
        </w:rPr>
        <w:fldChar w:fldCharType="begin"/>
      </w:r>
      <w:r w:rsidR="000938F5">
        <w:rPr>
          <w:color w:val="141516"/>
          <w:lang w:val="en-US"/>
        </w:rPr>
        <w:instrText xml:space="preserve"> ADDIN ZOTERO_ITEM CSL_CITATION {"citationID":"Tw85ZTuv","properties":{"formattedCitation":"(Ault et al., 2013; Bausch et al., 2008; Hsu, 2016)","plainCitation":"(Ault et al., 2013; Bausch et al., 2008; Hsu, 2016)","noteIndex":0},"citationItems":[{"id":16244,"uris":["http://zotero.org/users/15409160/items/T3B9XTIN"],"itemData":{"id":16244,"type":"article-journal","abstract":"Little is known about the implementation of assistive technology (AT) services for students in rural areas. This study investigated the AT service delivery in 10 rural districts across six states. The results indicated that students use AT across functional areas, but considerably fewer number of devices than do those not living in rural areas. AT experts attended a low percentage of IEP meetings, and the AT expertise of related service personnel is rated highly. Teachers reported that rural students have access to the technology they need; however, they also indicated they needed more training on available technology for their students. [PUBLICATION ABSTRACT]","container-title":"Rural Special Education Quarterly","DOI":"10.1177/875687051303200204","ISSN":"87568705","issue":"2","language":"English","license":"Copyright American Council on Rural Special Education Summer 2013","note":"number-of-pages: 8\npublisher-place: Morgantown, United Kingdom\npublisher: Sage Publications Ltd.\nTLDR: It is indicated that students use AT across functional areas, but considerably fewer number of devices than do those not living in rural areas.","page":"15-22","source":"ProQuest","title":"Assistive technology service delivery in rural school districts","URL":"https://www.proquest.com/docview/1420524203/abstract/C1027D7D1D1D4360PQ/11","volume":"32","author":[{"family":"Ault","given":"Melinda Jones"},{"family":"Bausch","given":"Margaret E."},{"family":"McLaren","given":"Elizabeth M."}],"accessed":{"date-parts":[["2025",2,18]]},"issued":{"date-parts":[["2013"]],"season":"Summer"},"citation-key":"aultAssistiveTechnologyService2013"}},{"id":1674,"uris":["http://zotero.org/users/15409160/items/FEI5MEQ8"],"itemData":{"id":1674,"type":"article-journal","abstract":"While efforts have been made in the last two decades to educate professionals about the nature of assistive technology (AT) devices, successful implementation of technology is impossible without the support and provision of appropriate AT services. The current investigation, designed and conducted by the National Assistive Technology Research Institute, examined the status of AT services delivery for students with disabilities across the nation. Professionals serving students who use AT were asked to report the AT services received by their students. Survey responses from 14 states and 60 school districts revealed three themes: federally defined AT services (40.2%), unclassifiable AT services (19.6%), and services that were not AT services (40.2%). Data were also gathered on the professionals providing AT services, the top three services provided by each professional, and the degree to which school systems were seeking AT services from contracted professionals outside the school system. Findings suggest the need for training and increased awareness of AT services among teachers and other professionals working with students with disabilities.","archive":"ERIC","archive_location":"61843384; EJ861025","container-title":"Journal of Special Education Technology","DOI":"10.1177/016264340802300201","ISSN":"0162-6434, 0162-6434","issue":"2","journalAbbreviation":"J Spec Educ Technol","language":"English","note":"publisher: Technology and Media Division of the Council for Exceptional Children\nTLDR: The current investigation, designed and conducted by the National Assistive Technology Research Institute, examined the status of AT services delivery for students with disabilities across the nation and suggested the need for training and increased awareness of AT Services among teachers and other professionals working with students with disabled.","page":"1-2","source":"SAGE Journals","title":"Going beyond at devices: Are at services being considered?","title-short":"Going beyond at devices","URL":"https://www2.lib.ku.edu/login?url=https://www.proquest.com/scholarly-journals/going-beyond-at-devices-are-services-being/docview/61843384/se-2?accountid=14556","volume":"23","author":[{"family":"Bausch","given":"Margaret E."},{"family":"Ault","given":"Melinda Jones"},{"family":"Evmenova","given":"Anna S."},{"family":"Behrmann","given":"Michael M."}],"accessed":{"date-parts":[["2024",10,19]]},"issued":{"date-parts":[["2008"]],"season":"2009"},"citation-key":"bauschGoingDevicesAre2008"}},{"id":10030,"uris":["http://zotero.org/users/15409160/items/KBUHCXYQ"],"itemData":{"id":10030,"type":"article-journal","abstract":"The purpose of this mixed-methods study was to examine the current beliefs, practices and barriers concerning technology integration of Kindergarten through Grade Six teachers in the midwestern United States. The three data collection methods were online surveys with 152 teachers as well as interviews and observations with 8 teachers. The findings indicated that a majority of the teachers held constructivist pedagogical beliefs about technology integration. This study found that the teachers who held constructivist pedagogical beliefs about technology use had high self-efficacy beliefs about technology use, placed positive value on the use of technology, and had two or more practices of high-level learning in their lessons. Language arts was the subject that gained the most attention for technology integration. Four barriers were students’ lack of computer skills, teachers’ lack of training in technology, teachers’ lack of time to implement technology-integrated lessons, and teachers’ lack of technical support.","container-title":"TechTrends","DOI":"10.1007/s11528-015-0014-3","ISSN":"1559-7075","issue":"1","journalAbbreviation":"TechTrends","language":"en","note":"TLDR: This study found that the teachers who held constructivist pedagogical beliefs about technology use had high self-efficacy beliefs abouttechnology use, placed positive value on the use of technology, and had two or more practices of high-level learning in their lessons.","page":"30-40","source":"Springer Link","title":"Examining current beliefs, practices and barriers about technology integration: a case study","title-short":"Examining current beliefs, practices and barriers about technology integration","URL":"https://doi.org/10.1007/s11528-015-0014-3","volume":"60","author":[{"family":"Hsu","given":"Pi-Sui"}],"accessed":{"date-parts":[["2024",11,15]]},"issued":{"date-parts":[["2016",1,1]]},"citation-key":"hsuExaminingCurrentBeliefs2016"}}],"schema":"https://github.com/citation-style-language/schema/raw/master/csl-citation.json"} </w:instrText>
      </w:r>
      <w:r w:rsidR="00843C98">
        <w:rPr>
          <w:color w:val="141516"/>
          <w:lang w:val="en-US"/>
        </w:rPr>
        <w:fldChar w:fldCharType="separate"/>
      </w:r>
      <w:r w:rsidR="00E95DF9">
        <w:rPr>
          <w:noProof/>
          <w:color w:val="141516"/>
          <w:lang w:val="en-US"/>
        </w:rPr>
        <w:t>(Ault et al., 2013; Bausch et al., 2008; Hsu, 2016)</w:t>
      </w:r>
      <w:r w:rsidR="00843C98">
        <w:rPr>
          <w:color w:val="141516"/>
          <w:lang w:val="en-US"/>
        </w:rPr>
        <w:fldChar w:fldCharType="end"/>
      </w:r>
      <w:r w:rsidRPr="009B686A">
        <w:rPr>
          <w:color w:val="141516"/>
          <w:lang w:val="en-US"/>
        </w:rPr>
        <w:t>. In short, external barriers like resources and training continue to pose challenges to implementation</w:t>
      </w:r>
      <w:r w:rsidR="00035644">
        <w:rPr>
          <w:color w:val="141516"/>
          <w:lang w:val="en-US"/>
        </w:rPr>
        <w:t>.</w:t>
      </w:r>
      <w:r w:rsidRPr="009B686A">
        <w:rPr>
          <w:color w:val="141516"/>
          <w:lang w:val="en-US"/>
        </w:rPr>
        <w:t xml:space="preserve"> </w:t>
      </w:r>
      <w:r w:rsidR="00035644">
        <w:rPr>
          <w:color w:val="141516"/>
          <w:lang w:val="en-US"/>
        </w:rPr>
        <w:t>E</w:t>
      </w:r>
      <w:r w:rsidRPr="009B686A">
        <w:rPr>
          <w:color w:val="141516"/>
          <w:lang w:val="en-US"/>
        </w:rPr>
        <w:t xml:space="preserve">nsuring ample </w:t>
      </w:r>
      <w:r w:rsidR="008A2823">
        <w:rPr>
          <w:color w:val="141516"/>
          <w:lang w:val="en-US"/>
        </w:rPr>
        <w:t>PD</w:t>
      </w:r>
      <w:r w:rsidRPr="009B686A">
        <w:rPr>
          <w:color w:val="141516"/>
          <w:lang w:val="en-US"/>
        </w:rPr>
        <w:t xml:space="preserve"> is often cited as the first step in overcoming these hurdles across classrooms and districts.</w:t>
      </w:r>
    </w:p>
    <w:p w14:paraId="64FA0396" w14:textId="51918C49" w:rsidR="00A23666" w:rsidRDefault="00A23666" w:rsidP="00A23666">
      <w:pPr>
        <w:tabs>
          <w:tab w:val="left" w:pos="1440"/>
          <w:tab w:val="left" w:pos="2160"/>
          <w:tab w:val="left" w:pos="2880"/>
        </w:tabs>
        <w:spacing w:line="480" w:lineRule="auto"/>
        <w:ind w:firstLine="720"/>
        <w:rPr>
          <w:color w:val="141516"/>
          <w:lang w:val="en-US"/>
        </w:rPr>
      </w:pPr>
      <w:r w:rsidRPr="009B686A">
        <w:rPr>
          <w:color w:val="141516"/>
          <w:lang w:val="en-US"/>
        </w:rPr>
        <w:t xml:space="preserve">Second-order barriers concern internal, teacher-level factors – particularly educators’ beliefs, attitudes, pedagogical philosophies, and confidence regarding technology </w:t>
      </w:r>
      <w:r w:rsidR="00E95DF9">
        <w:rPr>
          <w:color w:val="141516"/>
          <w:lang w:val="en-US"/>
        </w:rPr>
        <w:fldChar w:fldCharType="begin"/>
      </w:r>
      <w:r w:rsidR="000938F5">
        <w:rPr>
          <w:color w:val="141516"/>
          <w:lang w:val="en-US"/>
        </w:rPr>
        <w:instrText xml:space="preserve"> ADDIN ZOTERO_ITEM CSL_CITATION {"citationID":"vK0WJDkj","properties":{"formattedCitation":"(Ertmer, 1999; Ertmer et al., 2012)","plainCitation":"(Ertmer, 1999; Ertmer et al., 2012)","noteIndex":0},"citationItems":[{"id":17610,"uris":["http://zotero.org/users/15409160/items/LM7PQCYR","http://zotero.org/users/15409160/items/4QIQXMIT"],"itemData":{"id":17610,"type":"article-journal","abstract":"Although teachers today recognize the importance of integrating technology into their curricula, efforts are often limited by both external (first-order) and internal (second-order) barriers. Traditionally, technology training, for both preservice and inservice teachers, has focused on helping teachers overcome first-order barriers (e.g., acquiring technical skills needed to operate a computer). More recently, training programs have incorporated pedagogical models of technology use as one means of addressing second-order barriers. However, little discussion has occurred that clarifies the relationship between these different types of barriers or that delineates effective strategies for addressing different barriers. If pre- and inservice teachers are to become effective users of technology, they will need practical strategies for dealing with the different types of barriers they will face. In this paper, I discuss the relationship between first- and second-order barriers and then describe specific strategies for circumventing, overcoming, and eliminating the changing barriers teachers face as they work to achieve technology integration.","container-title":"Educational Technology Research and Development","DOI":"10.1007/bf02299597","ISSN":"1042-1629, 1556-6501","issue":"4","journalAbbreviation":"ETR&amp;D","language":"en","license":"http://www.springer.com/tdm","note":"publisher: Springer Science and Business Media LLC","page":"47-61","source":"Crossref","title":"Addressing first- and second-order barriers to change: Strategies for technology integration","title-short":"Addressing first- and second-order barriers to change","URL":"http://link.springer.com/10.1007/BF02299597","volume":"47","author":[{"family":"Ertmer","given":"Peggy A"}],"accessed":{"date-parts":[["2025",5,22]]},"issued":{"date-parts":[["1999",12]]},"citation-key":"ertmerAddressingFirstSecondorder1999"}},{"id":10028,"uris":["http://zotero.org/users/15409160/items/Y3W4TPG6"],"itemData":{"id":10028,"type":"article-journal","abstract":"Early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schema":"https://github.com/citation-style-language/schema/raw/master/csl-citation.json"} </w:instrText>
      </w:r>
      <w:r w:rsidR="00E95DF9">
        <w:rPr>
          <w:color w:val="141516"/>
          <w:lang w:val="en-US"/>
        </w:rPr>
        <w:fldChar w:fldCharType="separate"/>
      </w:r>
      <w:r w:rsidR="00480DD4">
        <w:rPr>
          <w:noProof/>
          <w:color w:val="141516"/>
          <w:lang w:val="en-US"/>
        </w:rPr>
        <w:t>(Ertmer, 1999; Ertmer et al., 2012)</w:t>
      </w:r>
      <w:r w:rsidR="00E95DF9">
        <w:rPr>
          <w:color w:val="141516"/>
          <w:lang w:val="en-US"/>
        </w:rPr>
        <w:fldChar w:fldCharType="end"/>
      </w:r>
      <w:r w:rsidRPr="009B686A">
        <w:rPr>
          <w:color w:val="141516"/>
          <w:lang w:val="en-US"/>
        </w:rPr>
        <w:t xml:space="preserve">. Researchers have long observed that even when external conditions are favorable, integration may falter if teachers are not convinced of technology’s value or feel anxious about its use </w:t>
      </w:r>
      <w:r w:rsidR="002D4AA1">
        <w:rPr>
          <w:color w:val="141516"/>
          <w:lang w:val="en-US"/>
        </w:rPr>
        <w:fldChar w:fldCharType="begin"/>
      </w:r>
      <w:r w:rsidR="000938F5">
        <w:rPr>
          <w:color w:val="141516"/>
          <w:lang w:val="en-US"/>
        </w:rPr>
        <w:instrText xml:space="preserve"> ADDIN ZOTERO_ITEM CSL_CITATION {"citationID":"iTWf3tKf","properties":{"formattedCitation":"(Ertmer et al., 2012; Zhao &amp; Cziko, 2001)","plainCitation":"(Ertmer et al., 2012; Zhao &amp; Cziko, 2001)","noteIndex":0},"citationItems":[{"id":10028,"uris":["http://zotero.org/users/15409160/items/Y3W4TPG6"],"itemData":{"id":10028,"type":"article-journal","abstract":"Early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id":2034,"uris":["http://zotero.org/users/15409160/items/9GL7MA5F"],"itemData":{"id":2034,"type":"article-journal","abstract":"There is an ironic and costly contradiction in the attempt to integrate technology into education. While evidence of the educational benefits of technology abounds and investment in hardware and software has dramatically increased, rela-tively few teachers use technology regularly in their teaching and the impact of computers on existing curricula is still very limited. What lies behind this contradiction? Why don't teachers make wider use of instructional technologies? In this article we introduce a novel model of goal-oriented behavior, Perceptual Control Theory (PCT), as a framework for understanding teacher adoption of technology. Unlike other approaches that examine this issue by studying the ex-ternal environment, this new framework attempts to under-stand teacher adoption of technology from the inside. It con-siders teachers' use of technology by examining the goals of teachers and how the use of technology might help or hinder their goals. While it is too early to provide systematic find-ings to show the usefulness of this application of PCT, we have used it here to interpret and synthesize the findings of a number of studies on teachers and technology. We also make suggestions derived from this model for the infusion of tech-nology into schools. To summarize the major themes, in order to understand why and why not teachers use technology, we must look at teach-ers as goal-oriented, purposeful organisms. PCT provides a comprehensive model for understanding technology infu-sion. From a PCT perspective three conditions are necessary for teachers to use technology: 1. The teacher must believe that technology can more effec-tively meet a higher-level goal than what has been used. 2. The teacher must believe that using technology will not cause disturbances to other higher-level goals that the he or she thinks are more important than the one being maintained. 3. The teacher must believe that he or she has or will have sufficient ability and resources to use technology.","container-title":"Journal of Technology and Teacher Education","issue":"1","note":"publisher-place: Norfolk, VA\npublisher: Society for Information Technology &amp; Teacher Education","page":"5–30","title":"Teacher adoption of technology: a perceptual control theory perspective","URL":"http://www.learntechlib.org/p/8455","volume":"9","author":[{"family":"Zhao","given":"Yong"},{"family":"Cziko","given":"Gary A."}],"issued":{"date-parts":[["2001"]]},"citation-key":"zhaoTeacherAdoptionTechnology2001"}}],"schema":"https://github.com/citation-style-language/schema/raw/master/csl-citation.json"} </w:instrText>
      </w:r>
      <w:r w:rsidR="002D4AA1">
        <w:rPr>
          <w:color w:val="141516"/>
          <w:lang w:val="en-US"/>
        </w:rPr>
        <w:fldChar w:fldCharType="separate"/>
      </w:r>
      <w:r w:rsidR="00480DD4">
        <w:rPr>
          <w:noProof/>
          <w:color w:val="141516"/>
          <w:lang w:val="en-US"/>
        </w:rPr>
        <w:t>(Ertmer et al., 2012; Zhao &amp; Cziko, 2001)</w:t>
      </w:r>
      <w:r w:rsidR="002D4AA1">
        <w:rPr>
          <w:color w:val="141516"/>
          <w:lang w:val="en-US"/>
        </w:rPr>
        <w:fldChar w:fldCharType="end"/>
      </w:r>
      <w:r w:rsidRPr="009B686A">
        <w:rPr>
          <w:color w:val="141516"/>
          <w:lang w:val="en-US"/>
        </w:rPr>
        <w:t xml:space="preserve">. In special education, these intrinsic barriers can be pronounced: teachers might doubt whether technology will truly benefit students with disabilities or may fear implementing technology without fidelity if they lack confidence in their skills </w:t>
      </w:r>
      <w:r w:rsidR="00F3294F">
        <w:rPr>
          <w:color w:val="141516"/>
          <w:lang w:val="en-US"/>
        </w:rPr>
        <w:fldChar w:fldCharType="begin"/>
      </w:r>
      <w:r w:rsidR="000938F5">
        <w:rPr>
          <w:color w:val="141516"/>
          <w:lang w:val="en-US"/>
        </w:rPr>
        <w:instrText xml:space="preserve"> ADDIN ZOTERO_ITEM CSL_CITATION {"citationID":"bd1CAcib","properties":{"formattedCitation":"(Ertmer et al., 2012; Etscheidt, 2016)","plainCitation":"(Ertmer et al., 2012; Etscheidt, 2016)","noteIndex":0},"citationItems":[{"id":10028,"uris":["http://zotero.org/users/15409160/items/Y3W4TPG6"],"itemData":{"id":10028,"type":"article-journal","abstract":"Early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id":1584,"uris":["http://zotero.org/users/15409160/items/3JS4YFTF"],"itemData":{"id":1584,"type":"article-journal","abstract":"Individualized Education Program (IEP) teams are required by the Individuals with Disabilities Education Act (IDEA) to consider a student’s need for assistive technology (AT). Despite this legal requirement, AT supports are often not available to students with disabilities. Many students with disabilities and their families have addressed the failure to consider and provide AT supports through litigation. The purpose of this article is to examine the case law pertaining to the assessment, selection, and provision of AT learning supports for students with disabilities. A legal analysis was conducted to determine litigation themes. Based on these results, several recommendations for IEP teams are proposed.","container-title":"Journal of Special Education Technology","DOI":"10.1177/0162643416673912","ISSN":"0162-6434","issue":"4","journalAbbreviation":"J Spec Educ Technol","language":"en","note":"publisher: SAGE Publications Inc","page":"183-194","source":"SAGE Journals","title":"Assistive technology for students with disabilities: a legal analysis of issues","title-short":"Assistive technology for students with disabilities","URL":"https://doi.org/10.1177/0162643416673912","volume":"31","author":[{"family":"Etscheidt","given":"Susan Larson"}],"accessed":{"date-parts":[["2024",10,19]]},"issued":{"date-parts":[["2016",12,1]]},"citation-key":"etscheidtAssistiveTechnologyStudents2016"}}],"schema":"https://github.com/citation-style-language/schema/raw/master/csl-citation.json"} </w:instrText>
      </w:r>
      <w:r w:rsidR="00F3294F">
        <w:rPr>
          <w:color w:val="141516"/>
          <w:lang w:val="en-US"/>
        </w:rPr>
        <w:fldChar w:fldCharType="separate"/>
      </w:r>
      <w:r w:rsidR="00480DD4">
        <w:rPr>
          <w:noProof/>
          <w:color w:val="141516"/>
          <w:lang w:val="en-US"/>
        </w:rPr>
        <w:t>(Ertmer et al., 2012; Etscheidt, 2016)</w:t>
      </w:r>
      <w:r w:rsidR="00F3294F">
        <w:rPr>
          <w:color w:val="141516"/>
          <w:lang w:val="en-US"/>
        </w:rPr>
        <w:fldChar w:fldCharType="end"/>
      </w:r>
      <w:r w:rsidRPr="009B686A">
        <w:rPr>
          <w:color w:val="141516"/>
          <w:lang w:val="en-US"/>
        </w:rPr>
        <w:t xml:space="preserve">. Exemplary technology-using </w:t>
      </w:r>
      <w:r w:rsidRPr="009B686A">
        <w:rPr>
          <w:color w:val="141516"/>
          <w:lang w:val="en-US"/>
        </w:rPr>
        <w:lastRenderedPageBreak/>
        <w:t xml:space="preserve">teachers’ perceptions of colleagues being scared or intimidated by technology </w:t>
      </w:r>
      <w:r w:rsidR="003F65F5">
        <w:rPr>
          <w:color w:val="141516"/>
          <w:lang w:val="en-US"/>
        </w:rPr>
        <w:t xml:space="preserve">can be seen </w:t>
      </w:r>
      <w:r w:rsidRPr="009B686A">
        <w:rPr>
          <w:color w:val="141516"/>
          <w:lang w:val="en-US"/>
        </w:rPr>
        <w:t xml:space="preserve">as a bigger obstacle than any equipment shortfall, highlighting the significance of mindset and knowledge </w:t>
      </w:r>
      <w:r w:rsidR="00B1651A">
        <w:rPr>
          <w:color w:val="141516"/>
          <w:lang w:val="en-US"/>
        </w:rPr>
        <w:fldChar w:fldCharType="begin"/>
      </w:r>
      <w:r w:rsidR="000938F5">
        <w:rPr>
          <w:color w:val="141516"/>
          <w:lang w:val="en-US"/>
        </w:rPr>
        <w:instrText xml:space="preserve"> ADDIN ZOTERO_ITEM CSL_CITATION {"citationID":"r207zVsR","properties":{"formattedCitation":"(Ertmer et al., 2012)","plainCitation":"(Ertmer et al., 2012)","noteIndex":0},"citationItems":[{"id":10028,"uris":["http://zotero.org/users/15409160/items/Y3W4TPG6"],"itemData":{"id":10028,"type":"article-journal","abstract":"Early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schema":"https://github.com/citation-style-language/schema/raw/master/csl-citation.json"} </w:instrText>
      </w:r>
      <w:r w:rsidR="00B1651A">
        <w:rPr>
          <w:color w:val="141516"/>
          <w:lang w:val="en-US"/>
        </w:rPr>
        <w:fldChar w:fldCharType="separate"/>
      </w:r>
      <w:r w:rsidR="00480DD4">
        <w:rPr>
          <w:noProof/>
          <w:color w:val="141516"/>
          <w:lang w:val="en-US"/>
        </w:rPr>
        <w:t>(Ertmer et al., 2012)</w:t>
      </w:r>
      <w:r w:rsidR="00B1651A">
        <w:rPr>
          <w:color w:val="141516"/>
          <w:lang w:val="en-US"/>
        </w:rPr>
        <w:fldChar w:fldCharType="end"/>
      </w:r>
      <w:r w:rsidRPr="009B686A">
        <w:rPr>
          <w:color w:val="141516"/>
          <w:lang w:val="en-US"/>
        </w:rPr>
        <w:t xml:space="preserve">. </w:t>
      </w:r>
    </w:p>
    <w:p w14:paraId="41BF724D" w14:textId="59308327" w:rsidR="00716368" w:rsidRDefault="00716368" w:rsidP="00716368">
      <w:pPr>
        <w:pStyle w:val="Heading3"/>
      </w:pPr>
      <w:r>
        <w:t xml:space="preserve">Professional Development </w:t>
      </w:r>
      <w:proofErr w:type="gramStart"/>
      <w:r>
        <w:t>as a Means to</w:t>
      </w:r>
      <w:proofErr w:type="gramEnd"/>
      <w:r>
        <w:t xml:space="preserve"> Overcome Implementation Barriers</w:t>
      </w:r>
    </w:p>
    <w:p w14:paraId="66686F4D" w14:textId="19AFBDF5" w:rsidR="00A23666" w:rsidRDefault="00A23666" w:rsidP="00A23666">
      <w:pPr>
        <w:tabs>
          <w:tab w:val="left" w:pos="1440"/>
          <w:tab w:val="left" w:pos="2160"/>
          <w:tab w:val="left" w:pos="2880"/>
        </w:tabs>
        <w:spacing w:line="480" w:lineRule="auto"/>
        <w:ind w:firstLine="720"/>
      </w:pPr>
      <w:proofErr w:type="gramStart"/>
      <w:r w:rsidRPr="009B686A">
        <w:rPr>
          <w:color w:val="141516"/>
          <w:lang w:val="en-US"/>
        </w:rPr>
        <w:t>Many</w:t>
      </w:r>
      <w:proofErr w:type="gramEnd"/>
      <w:r w:rsidRPr="009B686A">
        <w:rPr>
          <w:color w:val="141516"/>
          <w:lang w:val="en-US"/>
        </w:rPr>
        <w:t xml:space="preserve"> of these barriers are interwoven, creating complex core belief systems among teachers. </w:t>
      </w:r>
      <w:r w:rsidR="008A2823">
        <w:rPr>
          <w:color w:val="141516"/>
          <w:lang w:val="en-US"/>
        </w:rPr>
        <w:t>PD</w:t>
      </w:r>
      <w:r w:rsidRPr="009B686A">
        <w:rPr>
          <w:color w:val="141516"/>
          <w:lang w:val="en-US"/>
        </w:rPr>
        <w:t xml:space="preserve"> again </w:t>
      </w:r>
      <w:r w:rsidR="00962820" w:rsidRPr="009B686A">
        <w:rPr>
          <w:color w:val="141516"/>
          <w:lang w:val="en-US"/>
        </w:rPr>
        <w:t>appears</w:t>
      </w:r>
      <w:r w:rsidRPr="009B686A">
        <w:rPr>
          <w:color w:val="141516"/>
          <w:lang w:val="en-US"/>
        </w:rPr>
        <w:t xml:space="preserve"> as a critical, cross-cutting solution. Targeted training and support can increase teachers’ knowledge, self-efficacy, and openness to new practices, thereby mitigating second-order barriers </w:t>
      </w:r>
      <w:r w:rsidR="00962820">
        <w:rPr>
          <w:color w:val="141516"/>
          <w:lang w:val="en-US"/>
        </w:rPr>
        <w:fldChar w:fldCharType="begin"/>
      </w:r>
      <w:r w:rsidR="00033DFF">
        <w:rPr>
          <w:color w:val="141516"/>
          <w:lang w:val="en-US"/>
        </w:rPr>
        <w:instrText xml:space="preserve"> ADDIN ZOTERO_ITEM CSL_CITATION {"citationID":"0KwhC6Wg","properties":{"formattedCitation":"(Alharbi, 2018; Ertmer et al., 2012)","plainCitation":"(Alharbi, 2018; Ertmer et al., 2012)","noteIndex":0},"citationItems":[{"id":16210,"uris":["http://zotero.org/users/15409160/items/Y2C2DAC2"],"itemData":{"id":16210,"type":"thesis","abstract":"Studies indicate that there needs to be increase knowledge and use of assistive technology for elementary special education teachers’ in order to help students with disabilities accessing to learning materials and general education curriculums in inclusive setting. This study was designed to investigate the knowledge and use of assistive technology by elementary special education teachers in inclusive classrooms in Saudi Arabia. The sample of this study was 346 elementary special education teachers at The Ministry of Education from different regions in Saudi Arabia. This study is descriptive and inferential study in nature and uses quantitative method to collect and analysis data. The study found that the teachers in this study have room to improve upon their knowledge and use of assistive technology. profiles based on overall, the elementary special education teachers have lack of knowledge and use of assistive technology. According to multivariance analysis results, the assumptions for the MANOVA were met and the analysis showed only one main effect, which was age. However, this effect was small, as there was only one group difference and the effect did not hold up for the univariate between-subject’s tests. Also, the result showed that, there are no differences in knowledge and use of assistive technology related to age, gender, qualifications, teaching experience, and types of disabilities. Those results will help the policy makers at The Ministry of Education to understanding the state of knowledge and use of assistive technology to establish the level at which special education teachers are ready to adopt and implement the use of the assistive technology in their teaching exercises. In conclusion, The Ministry of Education should establish professional development programs for special education teachers and there are some recommendations for practices in this study to develop elementary special education teachers’ knowledge and use of assistive technology.","archive":"APA PsycInfo®","archive_location":"2108008033; 2018-40525-018","event-place":"United States -- Missouri","genre":"Ph.D.","language":"English","license":"Database copyright ProQuest LLC; ProQuest does not claim copyright in the individual underlying works.","note":"ISBN: 9780438127623","number-of-pages":"140","publisher":"Saint Louis University","publisher-place":"United States -- Missouri","source":"ProQuest","title":"Special education teachers' knowledge and use of assistive technology for inclusive classrooms in Saudi Arabia","URL":"https://www.proquest.com/docview/2070503070/abstract/5E8E7FC75F7744F1PQ/1","author":[{"family":"Alharbi","given":"Sami Abdullah"}],"accessed":{"date-parts":[["2025",2,18]]},"issued":{"date-parts":[["2018"]]},"citation-key":"alharbiSpecialEducationTeachers2018"}},{"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schema":"https://github.com/citation-style-language/schema/raw/master/csl-citation.json"} </w:instrText>
      </w:r>
      <w:r w:rsidR="00962820">
        <w:rPr>
          <w:color w:val="141516"/>
          <w:lang w:val="en-US"/>
        </w:rPr>
        <w:fldChar w:fldCharType="separate"/>
      </w:r>
      <w:r w:rsidR="00480DD4">
        <w:rPr>
          <w:noProof/>
          <w:color w:val="141516"/>
          <w:lang w:val="en-US"/>
        </w:rPr>
        <w:t>(Alharbi, 2018; Ertmer et al., 2012)</w:t>
      </w:r>
      <w:r w:rsidR="00962820">
        <w:rPr>
          <w:color w:val="141516"/>
          <w:lang w:val="en-US"/>
        </w:rPr>
        <w:fldChar w:fldCharType="end"/>
      </w:r>
      <w:r w:rsidRPr="009B686A">
        <w:rPr>
          <w:color w:val="141516"/>
          <w:lang w:val="en-US"/>
        </w:rPr>
        <w:t xml:space="preserve">. Researchers show that when special educators receive relevant technology </w:t>
      </w:r>
      <w:r w:rsidR="00F258C0">
        <w:rPr>
          <w:color w:val="141516"/>
          <w:lang w:val="en-US"/>
        </w:rPr>
        <w:t>PD</w:t>
      </w:r>
      <w:r w:rsidRPr="009B686A">
        <w:rPr>
          <w:color w:val="141516"/>
          <w:lang w:val="en-US"/>
        </w:rPr>
        <w:t xml:space="preserve">, their confidence grows and their instructional use of technology improves, benefiting student outcomes </w:t>
      </w:r>
      <w:r w:rsidR="00555B56">
        <w:rPr>
          <w:color w:val="141516"/>
          <w:lang w:val="en-US"/>
        </w:rPr>
        <w:fldChar w:fldCharType="begin"/>
      </w:r>
      <w:r w:rsidR="00033DFF">
        <w:rPr>
          <w:color w:val="141516"/>
          <w:lang w:val="en-US"/>
        </w:rPr>
        <w:instrText xml:space="preserve"> ADDIN ZOTERO_ITEM CSL_CITATION {"citationID":"uNAq9ARW","properties":{"formattedCitation":"(Alharbi, 2018)","plainCitation":"(Alharbi, 2018)","noteIndex":0},"citationItems":[{"id":16210,"uris":["http://zotero.org/users/15409160/items/Y2C2DAC2"],"itemData":{"id":16210,"type":"thesis","abstract":"Studies indicate that there needs to be increase knowledge and use of assistive technology for elementary special education teachers’ in order to help students with disabilities accessing to learning materials and general education curriculums in inclusive setting. This study was designed to investigate the knowledge and use of assistive technology by elementary special education teachers in inclusive classrooms in Saudi Arabia. The sample of this study was 346 elementary special education teachers at The Ministry of Education from different regions in Saudi Arabia. This study is descriptive and inferential study in nature and uses quantitative method to collect and analysis data. The study found that the teachers in this study have room to improve upon their knowledge and use of assistive technology. profiles based on overall, the elementary special education teachers have lack of knowledge and use of assistive technology. According to multivariance analysis results, the assumptions for the MANOVA were met and the analysis showed only one main effect, which was age. However, this effect was small, as there was only one group difference and the effect did not hold up for the univariate between-subject’s tests. Also, the result showed that, there are no differences in knowledge and use of assistive technology related to age, gender, qualifications, teaching experience, and types of disabilities. Those results will help the policy makers at The Ministry of Education to understanding the state of knowledge and use of assistive technology to establish the level at which special education teachers are ready to adopt and implement the use of the assistive technology in their teaching exercises. In conclusion, The Ministry of Education should establish professional development programs for special education teachers and there are some recommendations for practices in this study to develop elementary special education teachers’ knowledge and use of assistive technology.","archive":"APA PsycInfo®","archive_location":"2108008033; 2018-40525-018","event-place":"United States -- Missouri","genre":"Ph.D.","language":"English","license":"Database copyright ProQuest LLC; ProQuest does not claim copyright in the individual underlying works.","note":"ISBN: 9780438127623","number-of-pages":"140","publisher":"Saint Louis University","publisher-place":"United States -- Missouri","source":"ProQuest","title":"Special education teachers' knowledge and use of assistive technology for inclusive classrooms in Saudi Arabia","URL":"https://www.proquest.com/docview/2070503070/abstract/5E8E7FC75F7744F1PQ/1","author":[{"family":"Alharbi","given":"Sami Abdullah"}],"accessed":{"date-parts":[["2025",2,18]]},"issued":{"date-parts":[["2018"]]},"citation-key":"alharbiSpecialEducationTeachers2018"}}],"schema":"https://github.com/citation-style-language/schema/raw/master/csl-citation.json"} </w:instrText>
      </w:r>
      <w:r w:rsidR="00555B56">
        <w:rPr>
          <w:color w:val="141516"/>
          <w:lang w:val="en-US"/>
        </w:rPr>
        <w:fldChar w:fldCharType="separate"/>
      </w:r>
      <w:r w:rsidR="00555B56">
        <w:rPr>
          <w:noProof/>
          <w:color w:val="141516"/>
          <w:lang w:val="en-US"/>
        </w:rPr>
        <w:t>(Alharbi, 2018)</w:t>
      </w:r>
      <w:r w:rsidR="00555B56">
        <w:rPr>
          <w:color w:val="141516"/>
          <w:lang w:val="en-US"/>
        </w:rPr>
        <w:fldChar w:fldCharType="end"/>
      </w:r>
      <w:r w:rsidRPr="009B686A">
        <w:rPr>
          <w:color w:val="141516"/>
          <w:lang w:val="en-US"/>
        </w:rPr>
        <w:t xml:space="preserve">. To address second-order barriers, </w:t>
      </w:r>
      <w:r w:rsidR="00F258C0">
        <w:rPr>
          <w:color w:val="141516"/>
          <w:lang w:val="en-US"/>
        </w:rPr>
        <w:t>PD</w:t>
      </w:r>
      <w:r w:rsidRPr="009B686A">
        <w:rPr>
          <w:color w:val="141516"/>
          <w:lang w:val="en-US"/>
        </w:rPr>
        <w:t xml:space="preserve"> could build teachers’ competencies, grow their confidence, and shift their beliefs to ensure skills and values rooted in authentic learning experiences replace fear and uncertainty </w:t>
      </w:r>
      <w:r w:rsidR="00555B56">
        <w:rPr>
          <w:color w:val="141516"/>
          <w:lang w:val="en-US"/>
        </w:rPr>
        <w:fldChar w:fldCharType="begin"/>
      </w:r>
      <w:r w:rsidR="000938F5">
        <w:rPr>
          <w:color w:val="141516"/>
          <w:lang w:val="en-US"/>
        </w:rPr>
        <w:instrText xml:space="preserve"> ADDIN ZOTERO_ITEM CSL_CITATION {"citationID":"TTXzT0yQ","properties":{"formattedCitation":"(Ertmer et al., 2012)","plainCitation":"(Ertmer et al., 2012)","noteIndex":0},"citationItems":[{"id":10028,"uris":["http://zotero.org/users/15409160/items/Y3W4TPG6"],"itemData":{"id":10028,"type":"article-journal","abstract":"Early studies indicated that teachers’ enacted beliefs, particularly in terms of classroom technology practices, often did not align with their espoused beliefs. Researchers concluded this was due, at least in part, to a variety of external barriers that prevented teachers from using technology in ways that aligned more closely with their beliefs. However, many of these barriers (access, support, etc.) have since been eliminated in the majority of schools. This multiple case-study research was designed to revisit the question, “How do the pedagogical beliefs and classroom technology practices of teachers, recognized for their technology uses, align?” Twelve K-12 classroom teachers were purposefully selected based on their award-winning technology practices, supported by evidence from personal and/or classroom websites. Follow-up interviews were conducted to examine the correspondence between teachers’ classroom practices and their pedagogical beliefs. Results suggest close alignment; that is student-centered beliefs undergirded student-centered practices (authenticity, student choice, collaboration). Moreover, teachers with student-centered beliefs tended to enact student-centered curricula despite technological, administrative, or assessment barriers. Teachers’ own beliefs and attitudes about the relevance of technology to students’ learning were perceived as having the biggest impact on their success. Additionally, most teachers indicated that internal factors (e.g., passion for technology, having a problem-solving mentality) and support from others (administrators and personal learning networks) played key roles in shaping their practices. Teachers noted that the strongest barriers preventing other teachers from using technology were their existing attitudes and beliefs toward technology, as well as their current levels of knowledge and skills. Recommendations are made for refocusing our professional development efforts on strategies for facilitating changes in teachers’ attitudes and beliefs.","container-title":"Computers &amp; Education","DOI":"10.1016/j.compedu.2012.02.001","ISSN":"0360-1315","issue":"2","journalAbbreviation":"Computers &amp; Education","note":"TLDR: This multiple case-study research was designed to revisit the question, ''How do the pedagogical beliefs and classroom technology practices of teachers, recognized for their technology uses, align?'' and suggest close alignment.","page":"423-435","source":"ScienceDirect","title":"Teacher beliefs and technology integration practices: a critical relationship","title-short":"Teacher beliefs and technology integration practices","URL":"https://www.sciencedirect.com/science/article/pii/S0360131512000437","volume":"59","author":[{"family":"Ertmer","given":"Peggy A"},{"family":"Ottenbreit-Leftwich","given":"Anne T."},{"family":"Sadik","given":"Olgun"},{"family":"Sendurur","given":"Emine"},{"family":"Sendurur","given":"Polat"}],"accessed":{"date-parts":[["2024",11,15]]},"issued":{"date-parts":[["2012",9,1]]},"citation-key":"ertmerTeacherBeliefsTechnology2012"}}],"schema":"https://github.com/citation-style-language/schema/raw/master/csl-citation.json"} </w:instrText>
      </w:r>
      <w:r w:rsidR="00555B56">
        <w:rPr>
          <w:color w:val="141516"/>
          <w:lang w:val="en-US"/>
        </w:rPr>
        <w:fldChar w:fldCharType="separate"/>
      </w:r>
      <w:r w:rsidR="00480DD4">
        <w:rPr>
          <w:noProof/>
          <w:color w:val="141516"/>
          <w:lang w:val="en-US"/>
        </w:rPr>
        <w:t>(Ertmer et al., 2012)</w:t>
      </w:r>
      <w:r w:rsidR="00555B56">
        <w:rPr>
          <w:color w:val="141516"/>
          <w:lang w:val="en-US"/>
        </w:rPr>
        <w:fldChar w:fldCharType="end"/>
      </w:r>
      <w:r w:rsidRPr="009B686A">
        <w:rPr>
          <w:color w:val="141516"/>
          <w:lang w:val="en-US"/>
        </w:rPr>
        <w:t>.</w:t>
      </w:r>
    </w:p>
    <w:p w14:paraId="4F82C6B2" w14:textId="77777777" w:rsidR="00A23666" w:rsidRPr="002E4EC4" w:rsidRDefault="00A23666" w:rsidP="00572B2E">
      <w:pPr>
        <w:pStyle w:val="Heading2"/>
      </w:pPr>
      <w:r w:rsidRPr="002E4EC4">
        <w:t>Current Knowledge</w:t>
      </w:r>
    </w:p>
    <w:p w14:paraId="670D7FD1" w14:textId="6DA267FB" w:rsidR="00A23666" w:rsidRDefault="00A23666" w:rsidP="00A23666">
      <w:pPr>
        <w:tabs>
          <w:tab w:val="left" w:pos="1440"/>
          <w:tab w:val="left" w:pos="2160"/>
          <w:tab w:val="left" w:pos="2880"/>
        </w:tabs>
        <w:spacing w:line="480" w:lineRule="auto"/>
        <w:ind w:firstLine="720"/>
      </w:pPr>
      <w:r>
        <w:rPr>
          <w:color w:val="141516"/>
        </w:rPr>
        <w:t>Teacher professional development (PD) has evolved significantly since the start of the 21</w:t>
      </w:r>
      <w:r>
        <w:rPr>
          <w:color w:val="141516"/>
          <w:sz w:val="16"/>
          <w:vertAlign w:val="superscript"/>
        </w:rPr>
        <w:t>st</w:t>
      </w:r>
      <w:r>
        <w:rPr>
          <w:color w:val="141516"/>
        </w:rPr>
        <w:t xml:space="preserve"> century </w:t>
      </w:r>
      <w:r w:rsidR="009B04BF">
        <w:rPr>
          <w:color w:val="141516"/>
        </w:rPr>
        <w:fldChar w:fldCharType="begin"/>
      </w:r>
      <w:r w:rsidR="000938F5">
        <w:rPr>
          <w:color w:val="141516"/>
        </w:rPr>
        <w:instrText xml:space="preserve"> ADDIN ZOTERO_ITEM CSL_CITATION {"citationID":"V9thfjWG","properties":{"formattedCitation":"(Darling-Hammond et al., 2017)","plainCitation":"(Darling-Hammond et al., 2017)","noteIndex":0},"citationItems":[{"id":17626,"uris":["http://zotero.org/users/15409160/items/W46V646W"],"itemData":{"id":17626,"type":"report","language":"en","note":"DOI: 10.54300/122.311","publisher":"Learning Policy Institute","source":"Crossref","title":"Effective teacher professional development","URL":"https://learningpolicyinstitute.org/product/effective-teacher-professional-development-report","author":[{"family":"Darling-Hammond","given":"Linda"},{"family":"Hyler","given":"Maria"},{"family":"Gardner","given":"Madelyn"}],"accessed":{"date-parts":[["2025",5,22]]},"issued":{"date-parts":[["2017",6]]},"citation-key":"darling-hammondEffectiveTeacherProfessional2017"}}],"schema":"https://github.com/citation-style-language/schema/raw/master/csl-citation.json"} </w:instrText>
      </w:r>
      <w:r w:rsidR="009B04BF">
        <w:rPr>
          <w:color w:val="141516"/>
        </w:rPr>
        <w:fldChar w:fldCharType="separate"/>
      </w:r>
      <w:r w:rsidR="005613F4">
        <w:rPr>
          <w:noProof/>
          <w:color w:val="141516"/>
        </w:rPr>
        <w:t>(Darling-Hammond et al., 2017)</w:t>
      </w:r>
      <w:r w:rsidR="009B04BF">
        <w:rPr>
          <w:color w:val="141516"/>
        </w:rPr>
        <w:fldChar w:fldCharType="end"/>
      </w:r>
      <w:r>
        <w:rPr>
          <w:color w:val="141516"/>
        </w:rPr>
        <w:t xml:space="preserve">. PD typically took the shape of condensed delivery of effective teacher practices in one-day workshops and in-service at the school, district, or regional </w:t>
      </w:r>
      <w:bookmarkStart w:id="4" w:name="_Hlk198818769"/>
      <w:r w:rsidR="00970FA1">
        <w:rPr>
          <w:color w:val="141516"/>
        </w:rPr>
        <w:t xml:space="preserve">level </w:t>
      </w:r>
      <w:r w:rsidR="007F19DC">
        <w:rPr>
          <w:color w:val="141516"/>
        </w:rPr>
        <w:fldChar w:fldCharType="begin"/>
      </w:r>
      <w:r w:rsidR="000938F5">
        <w:rPr>
          <w:color w:val="141516"/>
        </w:rPr>
        <w:instrText xml:space="preserve"> ADDIN ZOTERO_ITEM CSL_CITATION {"citationID":"tpAzEbsG","properties":{"formattedCitation":"(Hargreaves, 2000)","plainCitation":"(Hargreaves, 2000)","noteIndex":0},"citationItems":[{"id":17590,"uris":["http://zotero.org/users/15409160/items/7ADGNT6M"],"itemData":{"id":17590,"type":"article-journal","abstract":"This paper conceptualizes the development of teacher professionalism as passing through four historical phases in many countries: the pre-professional age, the age of the autonomous professional, the age of the collegial professional and the fourth ageÐ post-professional or postmodern. Current experiences and perceptions of teacher professionalism and professionalization, it is argued, draw on all these ages. Conclusions are drawn regarding new directions in teacher professionalism, and the linking of professional projects to wider social movements for public education and its transformation.","container-title":"Teachers and Teaching","DOI":"10.1080/713698714","ISSN":"1354-0602, 1470-1278","issue":"2","language":"en","note":"publisher: Informa UK Limited","page":"151-182","source":"Crossref","title":"Four ages of professionalism and professional learning","URL":"https://www.tandfonline.com/doi/full/10.1080/713698714","volume":"6","author":[{"family":"Hargreaves","given":"Andy"}],"accessed":{"date-parts":[["2025",5,22]]},"issued":{"date-parts":[["2000",6]]},"citation-key":"hargreavesFourAgesProfessionalism2000"}}],"schema":"https://github.com/citation-style-language/schema/raw/master/csl-citation.json"} </w:instrText>
      </w:r>
      <w:r w:rsidR="007F19DC">
        <w:rPr>
          <w:color w:val="141516"/>
        </w:rPr>
        <w:fldChar w:fldCharType="separate"/>
      </w:r>
      <w:r w:rsidR="007F19DC">
        <w:rPr>
          <w:noProof/>
          <w:color w:val="141516"/>
        </w:rPr>
        <w:t>(Hargreaves, 2000)</w:t>
      </w:r>
      <w:r w:rsidR="007F19DC">
        <w:rPr>
          <w:color w:val="141516"/>
        </w:rPr>
        <w:fldChar w:fldCharType="end"/>
      </w:r>
      <w:bookmarkEnd w:id="4"/>
      <w:r>
        <w:rPr>
          <w:color w:val="141516"/>
        </w:rPr>
        <w:t xml:space="preserve">. These have been replaced with more persistent, collaborative, and job-embedded forms of PD that engage teachers in reflection and ongoing learning rooted in teacher practice change, resulting in improved student outcomes </w:t>
      </w:r>
      <w:r w:rsidR="007F19DC">
        <w:rPr>
          <w:color w:val="141516"/>
        </w:rPr>
        <w:fldChar w:fldCharType="begin"/>
      </w:r>
      <w:r w:rsidR="000938F5">
        <w:rPr>
          <w:color w:val="141516"/>
        </w:rPr>
        <w:instrText xml:space="preserve"> ADDIN ZOTERO_ITEM CSL_CITATION {"citationID":"wWAabN9i","properties":{"formattedCitation":"(Desimone, 2023; El Islami et al., 2022)","plainCitation":"(Desimone, 2023; El Islami et al., 2022)","noteIndex":0},"citationItems":[{"id":17388,"uris":["http://zotero.org/users/15409160/items/T9YQEF7Z"],"itemData":{"id":17388,"type":"article-journal","container-title":"Professional Development in Education","DOI":"10.1080/19415257.2023.2162746","ISSN":"1941-5257","issue":"1","note":"publisher: Routledge\n_eprint: https://doi.org/10.1080/19415257.2023.2162746","page":"1-3","source":"Taylor and Francis+NEJM","title":"Rethinking teacher PD: a focus on how to improve student learning","title-short":"Rethinking teacher PD","URL":"https://doi.org/10.1080/19415257.2023.2162746","volume":"49","author":[{"family":"Desimone","given":"Laura M."}],"accessed":{"date-parts":[["2025",5,19]]},"issued":{"date-parts":[["2023",1,2]]},"citation-key":"desimoneRethinkingTeacherPD2023"}},{"id":17630,"uris":["http://zotero.org/users/15409160/items/XIS34RF8"],"itemData":{"id":17630,"type":"article-journal","abstract":"Professional development is important for all teachers to improve the quality of teaching. This study is aimed to investigate the trends of professional development strategy and learning outcome in 2015-2019. A systematic review was used in analyzing 267 articles published between 2015 and 2019 in the Teaching and Teacher Education. The findings showed that the trend of professional development strategy is more collaborative and using collegial learning environment, and the trend of learning outcomes which developed through PD programs is more focused on the ability to teach, ability to manage the classroom, and ability to understand the subject field. These findings suggest future studies to develop professional development programs with collaborative and collegial learning environments to develop learning outcomes on practicing new instructional strategies.","container-title":"Shanlax International Journal of Education","DOI":"10.34293/education.v10i2.4628","ISSN":"2582-1334, 2320-2653","issue":"2","journalAbbreviation":"education","language":"en","license":"http://creativecommons.org/licenses/by-sa/4.0","note":"publisher: Shanlax International Journals","page":"1-8","source":"Crossref","title":"Trends of teacher professional development strategies: a systematic review","title-short":"Trends of teacher professional development strategies","URL":"http://shanlaxjournals.in/journals/index.php/education/article/view/4628","volume":"10","author":[{"family":"El Islami","given":"R Ahmad Zaky"},{"family":"Anantanukulwong","given":"Roseleena"},{"family":"Faikhamta","given":"Chatree"}],"accessed":{"date-parts":[["2025",5,22]]},"issued":{"date-parts":[["2022",3,1]]},"citation-key":"elislamiTrendsTeacherProfessional2022"}}],"schema":"https://github.com/citation-style-language/schema/raw/master/csl-citation.json"} </w:instrText>
      </w:r>
      <w:r w:rsidR="007F19DC">
        <w:rPr>
          <w:color w:val="141516"/>
        </w:rPr>
        <w:fldChar w:fldCharType="separate"/>
      </w:r>
      <w:r w:rsidR="007C3910">
        <w:rPr>
          <w:noProof/>
          <w:color w:val="141516"/>
        </w:rPr>
        <w:t>(Desimone, 2023; El Islami et al., 2022)</w:t>
      </w:r>
      <w:r w:rsidR="007F19DC">
        <w:rPr>
          <w:color w:val="141516"/>
        </w:rPr>
        <w:fldChar w:fldCharType="end"/>
      </w:r>
      <w:r>
        <w:rPr>
          <w:color w:val="141516"/>
        </w:rPr>
        <w:t xml:space="preserve">. </w:t>
      </w:r>
    </w:p>
    <w:p w14:paraId="0BED5703" w14:textId="6A1611F1" w:rsidR="00A23666" w:rsidRDefault="00A23666" w:rsidP="00A23666">
      <w:pPr>
        <w:tabs>
          <w:tab w:val="left" w:pos="1440"/>
          <w:tab w:val="left" w:pos="2160"/>
          <w:tab w:val="left" w:pos="2880"/>
        </w:tabs>
        <w:spacing w:line="480" w:lineRule="auto"/>
        <w:ind w:firstLine="720"/>
      </w:pPr>
      <w:r w:rsidRPr="009B686A">
        <w:rPr>
          <w:color w:val="141516"/>
          <w:lang w:val="en-US"/>
        </w:rPr>
        <w:t xml:space="preserve">The shift to delivery methods such as professional learning communities, coaching/mentoring systems, and other job-embedded PD supports has evidenced the collaborative emphasis on social meaning-making </w:t>
      </w:r>
      <w:r w:rsidR="00F83C49">
        <w:rPr>
          <w:color w:val="141516"/>
          <w:lang w:val="en-US"/>
        </w:rPr>
        <w:fldChar w:fldCharType="begin"/>
      </w:r>
      <w:r w:rsidR="000938F5">
        <w:rPr>
          <w:color w:val="141516"/>
          <w:lang w:val="en-US"/>
        </w:rPr>
        <w:instrText xml:space="preserve"> ADDIN ZOTERO_ITEM CSL_CITATION {"citationID":"y8JrqeF8","properties":{"formattedCitation":"(Darling-Hammond et al., 2017)","plainCitation":"(Darling-Hammond et al., 2017)","noteIndex":0},"citationItems":[{"id":17626,"uris":["http://zotero.org/users/15409160/items/W46V646W"],"itemData":{"id":17626,"type":"report","language":"en","note":"DOI: 10.54300/122.311","publisher":"Learning Policy Institute","source":"Crossref","title":"Effective teacher professional development","URL":"https://learningpolicyinstitute.org/product/effective-teacher-professional-development-report","author":[{"family":"Darling-Hammond","given":"Linda"},{"family":"Hyler","given":"Maria"},{"family":"Gardner","given":"Madelyn"}],"accessed":{"date-parts":[["2025",5,22]]},"issued":{"date-parts":[["2017",6]]},"citation-key":"darling-hammondEffectiveTeacherProfessional2017"}}],"schema":"https://github.com/citation-style-language/schema/raw/master/csl-citation.json"} </w:instrText>
      </w:r>
      <w:r w:rsidR="00F83C49">
        <w:rPr>
          <w:color w:val="141516"/>
          <w:lang w:val="en-US"/>
        </w:rPr>
        <w:fldChar w:fldCharType="separate"/>
      </w:r>
      <w:r w:rsidR="00F56FB2">
        <w:rPr>
          <w:noProof/>
          <w:color w:val="141516"/>
          <w:lang w:val="en-US"/>
        </w:rPr>
        <w:t>(Darling-Hammond et al., 2017)</w:t>
      </w:r>
      <w:r w:rsidR="00F83C49">
        <w:rPr>
          <w:color w:val="141516"/>
          <w:lang w:val="en-US"/>
        </w:rPr>
        <w:fldChar w:fldCharType="end"/>
      </w:r>
      <w:r w:rsidRPr="009B686A">
        <w:rPr>
          <w:color w:val="141516"/>
          <w:lang w:val="en-US"/>
        </w:rPr>
        <w:t xml:space="preserve">. This social </w:t>
      </w:r>
      <w:r w:rsidRPr="009B686A">
        <w:rPr>
          <w:color w:val="141516"/>
          <w:lang w:val="en-US"/>
        </w:rPr>
        <w:lastRenderedPageBreak/>
        <w:t xml:space="preserve">aspect of adult learning is rooted in neuroscience literature around learning as a science </w:t>
      </w:r>
      <w:r w:rsidR="00F56FB2">
        <w:rPr>
          <w:color w:val="141516"/>
          <w:lang w:val="en-US"/>
        </w:rPr>
        <w:fldChar w:fldCharType="begin"/>
      </w:r>
      <w:r w:rsidR="000938F5">
        <w:rPr>
          <w:color w:val="141516"/>
          <w:lang w:val="en-US"/>
        </w:rPr>
        <w:instrText xml:space="preserve"> ADDIN ZOTERO_ITEM CSL_CITATION {"citationID":"nj1llNJx","properties":{"formattedCitation":"(Darling-Hammond, 2024)","plainCitation":"(Darling-Hammond, 2024)","noteIndex":0},"citationItems":[{"id":17668,"uris":["http://zotero.org/users/15409160/items/Q3XXGL9K"],"itemData":{"id":17668,"type":"article-journal","abstract":"Highlights\n•\t\nAround the world, nations are grappling with the longstanding inequalities in education and society that were made more visible during the pandemic—along with the increasing educational demands of our fast-changing, knowledge-based world.\n•\t\nThis article outlines the anatomy of educational inequality and the demands for students to develop “learning ability.”\n•\t\nIt argues that to address these issues, we must reinvent education systems—often designed around a now antiquated factory model—so that schools can become more student-centered and supportive of whole child development; focused on deeper learning that meets the demands of today's society; culturally and linguistically connected and sustaining; grounded in collaboration among students, staff, families, and communities; and equitable in the opportunities provided and outcomes achieved.\n•\t\nIt describes policy strategies to accomplish these aims, with a strong emphasis on the changes in educator preparation and in-school supports needed for developing powerful teaching.","container-title":"ECNU Review of Education","DOI":"10.1177/20965311241237238","ISSN":"2096-5311","issue":"2","journalAbbreviation":"ECNU Review of Education","language":"EN","license":"https://creativecommons.org/licenses/by-nc/4.0/","note":"publisher: SAGE Publications Ltd","page":"214-229","source":"SAGE Journals","title":"Reinventing systems for equity","URL":"https://doi.org/10.1177/20965311241237238","volume":"7","author":[{"family":"Darling-Hammond","given":"Linda"}],"accessed":{"date-parts":[["2025",5,22]]},"issued":{"date-parts":[["2024",6,1]]},"citation-key":"darling-hammondReinventingSystemsEquity2024"}}],"schema":"https://github.com/citation-style-language/schema/raw/master/csl-citation.json"} </w:instrText>
      </w:r>
      <w:r w:rsidR="00F56FB2">
        <w:rPr>
          <w:color w:val="141516"/>
          <w:lang w:val="en-US"/>
        </w:rPr>
        <w:fldChar w:fldCharType="separate"/>
      </w:r>
      <w:r w:rsidR="00051642">
        <w:rPr>
          <w:noProof/>
          <w:color w:val="141516"/>
          <w:lang w:val="en-US"/>
        </w:rPr>
        <w:t>(Darling-Hammond, 2024)</w:t>
      </w:r>
      <w:r w:rsidR="00F56FB2">
        <w:rPr>
          <w:color w:val="141516"/>
          <w:lang w:val="en-US"/>
        </w:rPr>
        <w:fldChar w:fldCharType="end"/>
      </w:r>
      <w:r w:rsidR="00051642">
        <w:rPr>
          <w:color w:val="141516"/>
          <w:lang w:val="en-US"/>
        </w:rPr>
        <w:t xml:space="preserve"> </w:t>
      </w:r>
      <w:r w:rsidRPr="009B686A">
        <w:rPr>
          <w:color w:val="141516"/>
          <w:lang w:val="en-US"/>
        </w:rPr>
        <w:t xml:space="preserve">that encourages continuous development and reflection over time with peers </w:t>
      </w:r>
      <w:r w:rsidR="00051642">
        <w:rPr>
          <w:color w:val="141516"/>
          <w:lang w:val="en-US"/>
        </w:rPr>
        <w:fldChar w:fldCharType="begin"/>
      </w:r>
      <w:r w:rsidR="000938F5">
        <w:rPr>
          <w:color w:val="141516"/>
          <w:lang w:val="en-US"/>
        </w:rPr>
        <w:instrText xml:space="preserve"> ADDIN ZOTERO_ITEM CSL_CITATION {"citationID":"JXJdTove","properties":{"formattedCitation":"(El Islami et al., 2022; Vescio et al., 2008)","plainCitation":"(El Islami et al., 2022; Vescio et al., 2008)","noteIndex":0},"citationItems":[{"id":17630,"uris":["http://zotero.org/users/15409160/items/XIS34RF8"],"itemData":{"id":17630,"type":"article-journal","abstract":"Professional development is important for all teachers to improve the quality of teaching. This study is aimed to investigate the trends of professional development strategy and learning outcome in 2015-2019. A systematic review was used in analyzing 267 articles published between 2015 and 2019 in the Teaching and Teacher Education. The findings showed that the trend of professional development strategy is more collaborative and using collegial learning environment, and the trend of learning outcomes which developed through PD programs is more focused on the ability to teach, ability to manage the classroom, and ability to understand the subject field. These findings suggest future studies to develop professional development programs with collaborative and collegial learning environments to develop learning outcomes on practicing new instructional strategies.","container-title":"Shanlax International Journal of Education","DOI":"10.34293/education.v10i2.4628","ISSN":"2582-1334, 2320-2653","issue":"2","journalAbbreviation":"education","language":"en","license":"http://creativecommons.org/licenses/by-sa/4.0","note":"publisher: Shanlax International Journals","page":"1-8","source":"Crossref","title":"Trends of teacher professional development strategies: a systematic review","title-short":"Trends of teacher professional development strategies","URL":"http://shanlaxjournals.in/journals/index.php/education/article/view/4628","volume":"10","author":[{"family":"El Islami","given":"R Ahmad Zaky"},{"family":"Anantanukulwong","given":"Roseleena"},{"family":"Faikhamta","given":"Chatree"}],"accessed":{"date-parts":[["2025",5,22]]},"issued":{"date-parts":[["2022",3,1]]},"citation-key":"elislamiTrendsTeacherProfessional2022"}},{"id":17671,"uris":["http://zotero.org/users/15409160/items/MDYSEXK6"],"itemData":{"id":17671,"type":"article-journal","abstract":"After an overview of the characteristics of professional learning communities (PLCs), this manuscript presents a review of 10 American studies and one English study on the impact of PLCs on teaching practices and student learning. Although, few studies move beyond self-reports of positive impact, a small number of empirical studies explore the impact on teaching practice and student learning. The collective results of these studies suggest that well-developed PLCs have positive impact on both teaching practice and student achievement. Implications of this research and suggestions for next steps in the efforts to document the impact of PLCs on teaching and learning are included.","container-title":"Teaching and Teacher Education","DOI":"10.1016/j.tate.2007.01.004","ISSN":"0742-051X","issue":"1","language":"en","license":"https://www.elsevier.com/tdm/userlicense/1.0/","note":"publisher: Elsevier BV","page":"80-91","source":"Crossref","title":"A review of research on the impact of professional learning communities on teaching practice and student learning","URL":"https://linkinghub.elsevier.com/retrieve/pii/S0742051X07000066","volume":"24","author":[{"family":"Vescio","given":"Vicki"},{"family":"Ross","given":"Dorene"},{"family":"Adams","given":"Alyson"}],"accessed":{"date-parts":[["2025",5,22]]},"issued":{"date-parts":[["2008",1]]},"citation-key":"vescioReviewResearchImpact2008"}}],"schema":"https://github.com/citation-style-language/schema/raw/master/csl-citation.json"} </w:instrText>
      </w:r>
      <w:r w:rsidR="00051642">
        <w:rPr>
          <w:color w:val="141516"/>
          <w:lang w:val="en-US"/>
        </w:rPr>
        <w:fldChar w:fldCharType="separate"/>
      </w:r>
      <w:r w:rsidR="001F3D51">
        <w:rPr>
          <w:noProof/>
          <w:color w:val="141516"/>
          <w:lang w:val="en-US"/>
        </w:rPr>
        <w:t>(El Islami et al., 2022; Vescio et al., 2008)</w:t>
      </w:r>
      <w:r w:rsidR="00051642">
        <w:rPr>
          <w:color w:val="141516"/>
          <w:lang w:val="en-US"/>
        </w:rPr>
        <w:fldChar w:fldCharType="end"/>
      </w:r>
      <w:r w:rsidRPr="009B686A">
        <w:rPr>
          <w:color w:val="141516"/>
          <w:lang w:val="en-US"/>
        </w:rPr>
        <w:t xml:space="preserve">. On the individual teacher level, autonomy through micro-credentials and inquiry-based asynchronous PD allows teachers to pursue specific skills and receive recognition for mastery in targeted areas </w:t>
      </w:r>
      <w:r w:rsidR="00061D70">
        <w:rPr>
          <w:color w:val="141516"/>
          <w:lang w:val="en-US"/>
        </w:rPr>
        <w:fldChar w:fldCharType="begin"/>
      </w:r>
      <w:r w:rsidR="00FF4A85">
        <w:rPr>
          <w:color w:val="141516"/>
          <w:lang w:val="en-US"/>
        </w:rPr>
        <w:instrText xml:space="preserve"> ADDIN ZOTERO_ITEM CSL_CITATION {"citationID":"8lI2elVt","properties":{"formattedCitation":"(Hunt et al., 2022)","plainCitation":"(Hunt et al., 2022)","noteIndex":0},"citationItems":[{"id":16424,"uris":["http://zotero.org/users/15409160/items/QWS85JQC"],"itemData":{"id":16424,"type":"article-journal","abstract":"Given the complex roles of special educators, it is important that they be offered tailored professional development (PD) opportunities. Unfortunately, most PD tends to occur in “sit-and-get” formats, with generalized content that may or may not meet the needs of attendees. Districts are starting to investigate the use of microcredentials (MCs) to innovate PD and harness technology to personalize experiences. MCs are digital PD focused on the mastery of competency-based skills. With a variety of topics, formats, and platforms available, educators would benefit from guidance on how to navigate MCs. In this article, we examine the historical context of PD and the gaps traditional PD may create for educators, particularly special educators. We explore the attributes and personalization of MCs and paint a step-by-step picture of how an interested educator might engage in the MC process, from selecting a topic to earning the MC and reflecting on the experience.","archive":"ERIC","archive_location":"2661152462; EJ1330594","container-title":"Journal of Special Education Technology","DOI":"10.1177/0162643420933568","ISSN":"0162-6434","issue":"1","journalAbbreviation":"J Spec Educ Technol","language":"en","note":"publisher: SAGE Publications Inc","page":"3-10","source":"SAGE Journals","title":"Navigating the use of micro-credentials","URL":"https://doi.org/10.1177/0162643420933568","volume":"37","author":[{"family":"Hunt","given":"Tiffany"},{"family":"Carter","given":"Richard"},{"family":"Yang","given":"Sohyun"},{"family":"Zhang","given":"Ling"},{"family":"Williams","given":"Mia"}],"accessed":{"date-parts":[["2025",2,18]]},"issued":{"date-parts":[["2022",3,1]]},"citation-key":"huntNavigatingUseMicrocredentials2022"}}],"schema":"https://github.com/citation-style-language/schema/raw/master/csl-citation.json"} </w:instrText>
      </w:r>
      <w:r w:rsidR="00061D70">
        <w:rPr>
          <w:color w:val="141516"/>
          <w:lang w:val="en-US"/>
        </w:rPr>
        <w:fldChar w:fldCharType="separate"/>
      </w:r>
      <w:r w:rsidR="00407D7F">
        <w:rPr>
          <w:noProof/>
          <w:color w:val="141516"/>
          <w:lang w:val="en-US"/>
        </w:rPr>
        <w:t>(Hunt et al., 2022)</w:t>
      </w:r>
      <w:r w:rsidR="00061D70">
        <w:rPr>
          <w:color w:val="141516"/>
          <w:lang w:val="en-US"/>
        </w:rPr>
        <w:fldChar w:fldCharType="end"/>
      </w:r>
      <w:r w:rsidRPr="009B686A">
        <w:rPr>
          <w:color w:val="141516"/>
          <w:lang w:val="en-US"/>
        </w:rPr>
        <w:t>.</w:t>
      </w:r>
    </w:p>
    <w:p w14:paraId="2B2FB8A7" w14:textId="4A3D7BFB" w:rsidR="00A23666" w:rsidRDefault="00A23666" w:rsidP="00A23666">
      <w:pPr>
        <w:tabs>
          <w:tab w:val="left" w:pos="1440"/>
          <w:tab w:val="left" w:pos="2160"/>
          <w:tab w:val="left" w:pos="2880"/>
        </w:tabs>
        <w:spacing w:line="480" w:lineRule="auto"/>
        <w:ind w:firstLine="720"/>
        <w:rPr>
          <w:color w:val="141516"/>
        </w:rPr>
      </w:pPr>
      <w:r>
        <w:rPr>
          <w:color w:val="141516"/>
        </w:rPr>
        <w:t xml:space="preserve">Innovative delivery through digital platforms has helped to make learning more obtainable through on-demand webinars, virtual coaching, and global teacher networks. These strategies include rural or isolated areas where collaborative participation was much more complicated to access a decade ago </w:t>
      </w:r>
      <w:r w:rsidR="00331B0D">
        <w:rPr>
          <w:color w:val="141516"/>
        </w:rPr>
        <w:fldChar w:fldCharType="begin"/>
      </w:r>
      <w:r w:rsidR="000938F5">
        <w:rPr>
          <w:color w:val="141516"/>
        </w:rPr>
        <w:instrText xml:space="preserve"> ADDIN ZOTERO_ITEM CSL_CITATION {"citationID":"22vOt5DE","properties":{"formattedCitation":"(O\\uc0\\u8217{}Brien et al., 2011)","plainCitation":"(O’Brien et al., 2011)","noteIndex":0},"citationItems":[{"id":16588,"uris":["http://zotero.org/users/15409160/items/28YTN8XK"],"itemData":{"id":16588,"type":"article-journal","abstract":"Ongoing developments in educational technology, including web-based instruction, streaming video, podcasting, video-conferencing, and the use of wikis and blogs to create learning communities, have substantial impact on distance education and preparation of special educators in rural communities. These developments can be overwhelming, however, for teacher educators reluctant to break away from traditional methods. Rather than lamenting the burden of ever-changing technology, the authors highlight technology tools that make the efforts of teacher educators in special education more effective, looking at the positive elements of technology in teaching in higher education and offering a proactive perspective on technology integration. [PUBLICATION ABSTRACT]","container-title":"Rural Special Education Quarterly","DOI":"10.1177/875687051103000305","ISSN":"87568705","issue":"3","language":"English","license":"Copyright American Council on Rural Special Education Fall 2011","note":"number-of-pages: 8\npublisher-place: Morgantown, United Kingdom\npublisher: Sage Publications Ltd.","page":"33-40","source":"ProQuest","title":"Using contemporary technology tools to improve the effectiveness of teacher educators in special education","URL":"https://www.proquest.com/docview/903807139/abstract/C1027D7D1D1D4360PQ/1","volume":"30","author":[{"family":"O'Brien","given":"Chris"},{"family":"Aguinaga","given":"Nancy J."},{"family":"Hines","given":"Rebecca"},{"family":"Hartshorne","given":"Richard"}],"accessed":{"date-parts":[["2025",2,18]]},"issued":{"date-parts":[["2011"]],"season":"Fall"},"citation-key":"obrienUsingContemporaryTechnology2011"}}],"schema":"https://github.com/citation-style-language/schema/raw/master/csl-citation.json"} </w:instrText>
      </w:r>
      <w:r w:rsidR="00331B0D">
        <w:rPr>
          <w:color w:val="141516"/>
        </w:rPr>
        <w:fldChar w:fldCharType="separate"/>
      </w:r>
      <w:r w:rsidR="0067029C" w:rsidRPr="0067029C">
        <w:rPr>
          <w:color w:val="000000"/>
          <w:lang w:val="en-US"/>
        </w:rPr>
        <w:t>(O’Brien et al., 2011)</w:t>
      </w:r>
      <w:r w:rsidR="00331B0D">
        <w:rPr>
          <w:color w:val="141516"/>
        </w:rPr>
        <w:fldChar w:fldCharType="end"/>
      </w:r>
      <w:r>
        <w:rPr>
          <w:color w:val="141516"/>
        </w:rPr>
        <w:t>. These tools can increase access to quality PD, allowing special educators in remote or resource-poor areas to connect with experts and peers for support.</w:t>
      </w:r>
    </w:p>
    <w:p w14:paraId="2CC08306" w14:textId="6C9E00C3" w:rsidR="00A9576A" w:rsidRDefault="00A9576A" w:rsidP="00A9576A">
      <w:pPr>
        <w:pStyle w:val="Heading3"/>
        <w:spacing w:line="480" w:lineRule="auto"/>
      </w:pPr>
      <w:r>
        <w:t>Current Professional Development</w:t>
      </w:r>
    </w:p>
    <w:p w14:paraId="60CB98BC" w14:textId="1743F4A4" w:rsidR="00A23666" w:rsidRDefault="00A23666" w:rsidP="00A23666">
      <w:pPr>
        <w:tabs>
          <w:tab w:val="left" w:pos="1440"/>
          <w:tab w:val="left" w:pos="2160"/>
          <w:tab w:val="left" w:pos="2880"/>
        </w:tabs>
        <w:spacing w:line="480" w:lineRule="auto"/>
        <w:ind w:firstLine="720"/>
      </w:pPr>
      <w:r>
        <w:rPr>
          <w:color w:val="141516"/>
        </w:rPr>
        <w:t xml:space="preserve">The current generation of best practice in PD is more teacher-centered and tech-enabled, using personalization and innovation to create a continuous learning ecosystem for educators </w:t>
      </w:r>
      <w:r w:rsidR="0067029C">
        <w:rPr>
          <w:color w:val="141516"/>
        </w:rPr>
        <w:fldChar w:fldCharType="begin"/>
      </w:r>
      <w:r w:rsidR="00FF4A85">
        <w:rPr>
          <w:color w:val="141516"/>
        </w:rPr>
        <w:instrText xml:space="preserve"> ADDIN ZOTERO_ITEM CSL_CITATION {"citationID":"fN5cF18i","properties":{"formattedCitation":"(Darling-Hammond, 2024; Hunt et al., 2022)","plainCitation":"(Darling-Hammond, 2024; Hunt et al., 2022)","noteIndex":0},"citationItems":[{"id":17668,"uris":["http://zotero.org/users/15409160/items/Q3XXGL9K"],"itemData":{"id":17668,"type":"article-journal","abstract":"Highlights\n•\t\nAround the world, nations are grappling with the longstanding inequalities in education and society that were made more visible during the pandemic—along with the increasing educational demands of our fast-changing, knowledge-based world.\n•\t\nThis article outlines the anatomy of educational inequality and the demands for students to develop “learning ability.”\n•\t\nIt argues that to address these issues, we must reinvent education systems—often designed around a now antiquated factory model—so that schools can become more student-centered and supportive of whole child development; focused on deeper learning that meets the demands of today's society; culturally and linguistically connected and sustaining; grounded in collaboration among students, staff, families, and communities; and equitable in the opportunities provided and outcomes achieved.\n•\t\nIt describes policy strategies to accomplish these aims, with a strong emphasis on the changes in educator preparation and in-school supports needed for developing powerful teaching.","container-title":"ECNU Review of Education","DOI":"10.1177/20965311241237238","ISSN":"2096-5311","issue":"2","journalAbbreviation":"ECNU Review of Education","language":"EN","license":"https://creativecommons.org/licenses/by-nc/4.0/","note":"publisher: SAGE Publications Ltd","page":"214-229","source":"SAGE Journals","title":"Reinventing systems for equity","URL":"https://doi.org/10.1177/20965311241237238","volume":"7","author":[{"family":"Darling-Hammond","given":"Linda"}],"accessed":{"date-parts":[["2025",5,22]]},"issued":{"date-parts":[["2024",6,1]]},"citation-key":"darling-hammondReinventingSystemsEquity2024"}},{"id":16424,"uris":["http://zotero.org/users/15409160/items/QWS85JQC"],"itemData":{"id":16424,"type":"article-journal","abstract":"Given the complex roles of special educators, it is important that they be offered tailored professional development (PD) opportunities. Unfortunately, most PD tends to occur in “sit-and-get” formats, with generalized content that may or may not meet the needs of attendees. Districts are starting to investigate the use of microcredentials (MCs) to innovate PD and harness technology to personalize experiences. MCs are digital PD focused on the mastery of competency-based skills. With a variety of topics, formats, and platforms available, educators would benefit from guidance on how to navigate MCs. In this article, we examine the historical context of PD and the gaps traditional PD may create for educators, particularly special educators. We explore the attributes and personalization of MCs and paint a step-by-step picture of how an interested educator might engage in the MC process, from selecting a topic to earning the MC and reflecting on the experience.","archive":"ERIC","archive_location":"2661152462; EJ1330594","container-title":"Journal of Special Education Technology","DOI":"10.1177/0162643420933568","ISSN":"0162-6434","issue":"1","journalAbbreviation":"J Spec Educ Technol","language":"en","note":"publisher: SAGE Publications Inc","page":"3-10","source":"SAGE Journals","title":"Navigating the use of micro-credentials","URL":"https://doi.org/10.1177/0162643420933568","volume":"37","author":[{"family":"Hunt","given":"Tiffany"},{"family":"Carter","given":"Richard"},{"family":"Yang","given":"Sohyun"},{"family":"Zhang","given":"Ling"},{"family":"Williams","given":"Mia"}],"accessed":{"date-parts":[["2025",2,18]]},"issued":{"date-parts":[["2022",3,1]]},"citation-key":"huntNavigatingUseMicrocredentials2022"}}],"schema":"https://github.com/citation-style-language/schema/raw/master/csl-citation.json"} </w:instrText>
      </w:r>
      <w:r w:rsidR="0067029C">
        <w:rPr>
          <w:color w:val="141516"/>
        </w:rPr>
        <w:fldChar w:fldCharType="separate"/>
      </w:r>
      <w:r w:rsidR="00AD56E0">
        <w:rPr>
          <w:noProof/>
          <w:color w:val="141516"/>
        </w:rPr>
        <w:t>(Darling-Hammond, 2024; Hunt et al., 2022)</w:t>
      </w:r>
      <w:r w:rsidR="0067029C">
        <w:rPr>
          <w:color w:val="141516"/>
        </w:rPr>
        <w:fldChar w:fldCharType="end"/>
      </w:r>
      <w:r>
        <w:rPr>
          <w:color w:val="141516"/>
        </w:rPr>
        <w:t xml:space="preserve">. Effective PD is viewed as an ongoing process integrated into teachers’ everyday work in both individual and group settings rather than isolated events </w:t>
      </w:r>
      <w:r w:rsidR="00AD56E0">
        <w:rPr>
          <w:color w:val="141516"/>
        </w:rPr>
        <w:fldChar w:fldCharType="begin"/>
      </w:r>
      <w:r w:rsidR="005F758A">
        <w:rPr>
          <w:color w:val="141516"/>
        </w:rPr>
        <w:instrText xml:space="preserve"> ADDIN ZOTERO_ITEM CSL_CITATION {"citationID":"ABwysTBc","properties":{"formattedCitation":"(Desimone, 2023)","plainCitation":"(Desimone, 2023)","noteIndex":0},"citationItems":[{"id":17388,"uris":["http://zotero.org/users/15409160/items/T9YQEF7Z"],"itemData":{"id":17388,"type":"article-journal","container-title":"Professional Development in Education","DOI":"10.1080/19415257.2023.2162746","ISSN":"1941-5257","issue":"1","note":"publisher: Routledge\n_eprint: https://doi.org/10.1080/19415257.2023.2162746","page":"1-3","source":"Taylor and Francis+NEJM","title":"Rethinking teacher PD: a focus on how to improve student learning","title-short":"Rethinking teacher PD","URL":"https://doi.org/10.1080/19415257.2023.2162746","volume":"49","author":[{"family":"Desimone","given":"Laura M."}],"accessed":{"date-parts":[["2025",5,19]]},"issued":{"date-parts":[["2023",1,2]]},"citation-key":"desimoneRethinkingTeacherPD2023"}}],"schema":"https://github.com/citation-style-language/schema/raw/master/csl-citation.json"} </w:instrText>
      </w:r>
      <w:r w:rsidR="00AD56E0">
        <w:rPr>
          <w:color w:val="141516"/>
        </w:rPr>
        <w:fldChar w:fldCharType="separate"/>
      </w:r>
      <w:r w:rsidR="005F758A">
        <w:rPr>
          <w:noProof/>
          <w:color w:val="141516"/>
        </w:rPr>
        <w:t>(Desimone, 2023)</w:t>
      </w:r>
      <w:r w:rsidR="00AD56E0">
        <w:rPr>
          <w:color w:val="141516"/>
        </w:rPr>
        <w:fldChar w:fldCharType="end"/>
      </w:r>
      <w:r>
        <w:rPr>
          <w:color w:val="141516"/>
        </w:rPr>
        <w:t xml:space="preserve">. </w:t>
      </w:r>
    </w:p>
    <w:p w14:paraId="7DAF5BBB" w14:textId="7123B0C0" w:rsidR="00A23666" w:rsidRDefault="00A23666" w:rsidP="00A23666">
      <w:pPr>
        <w:tabs>
          <w:tab w:val="left" w:pos="1440"/>
          <w:tab w:val="left" w:pos="2160"/>
          <w:tab w:val="left" w:pos="2880"/>
        </w:tabs>
        <w:spacing w:line="480" w:lineRule="auto"/>
        <w:ind w:firstLine="720"/>
        <w:rPr>
          <w:color w:val="141516"/>
        </w:rPr>
      </w:pPr>
      <w:r>
        <w:rPr>
          <w:color w:val="141516"/>
        </w:rPr>
        <w:t>The PD paradigm shift has picked up pace in the last ten years since the passage of the Every Student Succeeds Act</w:t>
      </w:r>
      <w:r w:rsidR="005F758A">
        <w:rPr>
          <w:color w:val="141516"/>
        </w:rPr>
        <w:t xml:space="preserve"> </w:t>
      </w:r>
      <w:r w:rsidR="003267F8">
        <w:rPr>
          <w:color w:val="141516"/>
        </w:rPr>
        <w:fldChar w:fldCharType="begin"/>
      </w:r>
      <w:r w:rsidR="000938F5">
        <w:rPr>
          <w:color w:val="141516"/>
        </w:rPr>
        <w:instrText xml:space="preserve"> ADDIN ZOTERO_ITEM CSL_CITATION {"citationID":"fr6mDVGw","properties":{"formattedCitation":"(Every Student Succeeds Act, 2015)","plainCitation":"(Every Student Succeeds Act, 2015)","noteIndex":0},"citationItems":[{"id":17685,"uris":["http://zotero.org/users/15409160/items/W93GMTFK","http://zotero.org/users/15409160/items/X8QMQBXP"],"itemData":{"id":17685,"type":"legislation","abstract":"Summary of S.1177 - 114th Congress (2015-2016): Every Student Succeeds Act","language":"eng","license":"Text is government work","note":"tex.ids= unitedstates:congressReauthorizeElementarySecondary2015\narchive_location: 2015-04-30\nsource: DGPO","title":"S.1177 - 114th Congress (2015-2016): Every Student Succeeds Act","title-short":"Every Student Succeeds Act","URL":"https://www.govinfo.gov/app/details/COMPS-11851","author":[{"family":"Sen. Alexander","given":"Lamar [R-TN"}],"accessed":{"date-parts":[["2025",5,22]]},"issued":{"date-parts":[["2015",12,10]]},"citation-key":"sen.alexanderS1177114thCongress2015"}}],"schema":"https://github.com/citation-style-language/schema/raw/master/csl-citation.json"} </w:instrText>
      </w:r>
      <w:r w:rsidR="003267F8">
        <w:rPr>
          <w:color w:val="141516"/>
        </w:rPr>
        <w:fldChar w:fldCharType="separate"/>
      </w:r>
      <w:r w:rsidR="0014022A">
        <w:rPr>
          <w:noProof/>
          <w:color w:val="141516"/>
        </w:rPr>
        <w:t>(Every Student Succeeds Act, 2015)</w:t>
      </w:r>
      <w:r w:rsidR="003267F8">
        <w:rPr>
          <w:color w:val="141516"/>
        </w:rPr>
        <w:fldChar w:fldCharType="end"/>
      </w:r>
      <w:r>
        <w:rPr>
          <w:color w:val="141516"/>
        </w:rPr>
        <w:t>, which identified common elements in what works in changing teacher practice and tied implementation of those elements to billions of annual federal dollars</w:t>
      </w:r>
      <w:r w:rsidR="004E644D">
        <w:rPr>
          <w:color w:val="141516"/>
        </w:rPr>
        <w:t xml:space="preserve"> </w:t>
      </w:r>
      <w:r w:rsidR="004E644D">
        <w:rPr>
          <w:color w:val="141516"/>
        </w:rPr>
        <w:fldChar w:fldCharType="begin"/>
      </w:r>
      <w:r w:rsidR="008C2F48">
        <w:rPr>
          <w:color w:val="141516"/>
        </w:rPr>
        <w:instrText xml:space="preserve"> ADDIN ZOTERO_ITEM CSL_CITATION {"citationID":"9g1j1QJn","properties":{"formattedCitation":"(Combs &amp; Silverman, 2016)","plainCitation":"(Combs &amp; Silverman, 2016)","noteIndex":0},"citationItems":[{"id":17691,"uris":["http://zotero.org/users/15409160/items/LI649RKA"],"itemData":{"id":17691,"type":"report","note":"Citation Key: Combs2016Bridging","publisher":"Frontline Research &amp; Learning Institute","title":"Bridging the gap: Paving the pathway from current practice to exemplary professional learning","URL":"https://www.frontlineeducation.com/uploads/sites/2/2023/04/Bridging-The-Gap_Paving-the-Pathway-from-Current-Practice-to-Exemplary-Professional-Learning.pdf","author":[{"family":"Combs","given":"Elizabeth"},{"family":"Silverman","given":"Sarah"}],"issued":{"date-parts":[["2016"]]},"citation-key":"Combs2016Bridging"}}],"schema":"https://github.com/citation-style-language/schema/raw/master/csl-citation.json"} </w:instrText>
      </w:r>
      <w:r w:rsidR="004E644D">
        <w:rPr>
          <w:color w:val="141516"/>
        </w:rPr>
        <w:fldChar w:fldCharType="separate"/>
      </w:r>
      <w:r w:rsidR="008C2F48">
        <w:rPr>
          <w:noProof/>
          <w:color w:val="141516"/>
        </w:rPr>
        <w:t>(Combs &amp; Silverman, 2016)</w:t>
      </w:r>
      <w:r w:rsidR="004E644D">
        <w:rPr>
          <w:color w:val="141516"/>
        </w:rPr>
        <w:fldChar w:fldCharType="end"/>
      </w:r>
      <w:r>
        <w:rPr>
          <w:color w:val="141516"/>
        </w:rPr>
        <w:t xml:space="preserve">. </w:t>
      </w:r>
      <w:r w:rsidRPr="00F646D8">
        <w:rPr>
          <w:i/>
          <w:iCs/>
          <w:color w:val="141516"/>
        </w:rPr>
        <w:t>Table 1</w:t>
      </w:r>
      <w:r>
        <w:rPr>
          <w:color w:val="141516"/>
        </w:rPr>
        <w:t xml:space="preserve"> defines those seven elements and provides examples.</w:t>
      </w:r>
    </w:p>
    <w:p w14:paraId="2917B146" w14:textId="4AEDD847" w:rsidR="00A9590C" w:rsidRDefault="00A9590C" w:rsidP="00A9590C">
      <w:pPr>
        <w:tabs>
          <w:tab w:val="left" w:pos="1440"/>
          <w:tab w:val="left" w:pos="2160"/>
          <w:tab w:val="left" w:pos="2880"/>
        </w:tabs>
        <w:spacing w:line="480" w:lineRule="auto"/>
        <w:ind w:firstLine="720"/>
      </w:pPr>
      <w:r>
        <w:rPr>
          <w:color w:val="141516"/>
        </w:rPr>
        <w:lastRenderedPageBreak/>
        <w:t xml:space="preserve">If teachers engage in sustained, collaborative learning, they are more likely to implement new strategies and improve student outcomes </w:t>
      </w:r>
      <w:r w:rsidR="00AD7208">
        <w:rPr>
          <w:color w:val="141516"/>
        </w:rPr>
        <w:fldChar w:fldCharType="begin"/>
      </w:r>
      <w:r w:rsidR="00AD7208">
        <w:rPr>
          <w:color w:val="141516"/>
        </w:rPr>
        <w:instrText xml:space="preserve"> ADDIN ZOTERO_ITEM CSL_CITATION {"citationID":"HbaGybMh","properties":{"formattedCitation":"(Vescio et al., 2008)","plainCitation":"(Vescio et al., 2008)","noteIndex":0},"citationItems":[{"id":17671,"uris":["http://zotero.org/users/15409160/items/MDYSEXK6"],"itemData":{"id":17671,"type":"article-journal","abstract":"After an overview of the characteristics of professional learning communities (PLCs), this manuscript presents a review of 10 American studies and one English study on the impact of PLCs on teaching practices and student learning. Although, few studies move beyond self-reports of positive impact, a small number of empirical studies explore the impact on teaching practice and student learning. The collective results of these studies suggest that well-developed PLCs have positive impact on both teaching practice and student achievement. Implications of this research and suggestions for next steps in the efforts to document the impact of PLCs on teaching and learning are included.","container-title":"Teaching and Teacher Education","DOI":"10.1016/j.tate.2007.01.004","ISSN":"0742-051X","issue":"1","language":"en","license":"https://www.elsevier.com/tdm/userlicense/1.0/","note":"publisher: Elsevier BV","page":"80-91","source":"Crossref","title":"A review of research on the impact of professional learning communities on teaching practice and student learning","URL":"https://linkinghub.elsevier.com/retrieve/pii/S0742051X07000066","volume":"24","author":[{"family":"Vescio","given":"Vicki"},{"family":"Ross","given":"Dorene"},{"family":"Adams","given":"Alyson"}],"accessed":{"date-parts":[["2025",5,22]]},"issued":{"date-parts":[["2008",1]]},"citation-key":"vescioReviewResearchImpact2008"}}],"schema":"https://github.com/citation-style-language/schema/raw/master/csl-citation.json"} </w:instrText>
      </w:r>
      <w:r w:rsidR="00AD7208">
        <w:rPr>
          <w:color w:val="141516"/>
        </w:rPr>
        <w:fldChar w:fldCharType="separate"/>
      </w:r>
      <w:r w:rsidR="00AD7208">
        <w:rPr>
          <w:noProof/>
          <w:color w:val="141516"/>
        </w:rPr>
        <w:t>(Vescio et al., 2008)</w:t>
      </w:r>
      <w:r w:rsidR="00AD7208">
        <w:rPr>
          <w:color w:val="141516"/>
        </w:rPr>
        <w:fldChar w:fldCharType="end"/>
      </w:r>
      <w:r>
        <w:rPr>
          <w:color w:val="141516"/>
        </w:rPr>
        <w:t xml:space="preserve">. These trends illustrate an overall move from transmissive to transformative models of PD, which aim to align PD more closely with teachers’ real classroom contexts and the need for continual growth </w:t>
      </w:r>
      <w:r w:rsidR="00AD7208">
        <w:rPr>
          <w:color w:val="141516"/>
        </w:rPr>
        <w:fldChar w:fldCharType="begin"/>
      </w:r>
      <w:r w:rsidR="000938F5">
        <w:rPr>
          <w:color w:val="141516"/>
        </w:rPr>
        <w:instrText xml:space="preserve"> ADDIN ZOTERO_ITEM CSL_CITATION {"citationID":"rn4JwH5z","properties":{"formattedCitation":"(Avalos, 2011; Hargreaves, 2000)","plainCitation":"(Avalos, 2011; Hargreaves, 2000)","noteIndex":0},"citationItems":[{"id":17585,"uris":["http://zotero.org/users/15409160/items/YMD9WYQZ"],"itemData":{"id":17585,"type":"article-journal","abstract":"A review of publications in Teaching and Teacher Education over ten years (2000e2010) on teacher professional development is the subject of the paper. The ﬁrst part synthesises production referred to learning, facilitation and collaboration, factors inﬂuencing professional development, effectiveness of professional development and issues around the themes. The second part, selects from the production nine articles for closer examination. The paper concludes by noting how the production brings out the complexities of teacher professional learning and how research and development have taken cognisance of these factors and provided food for optimism about their effects, although not yet about their sustainability in time.","container-title":"Teaching and Teacher Education","DOI":"10.1016/j.tate.2010.08.007","ISSN":"0742-051X","issue":"1","journalAbbreviation":"Teaching and Teacher Education","language":"en","license":"https://www.elsevier.com/tdm/userlicense/1.0/","note":"publisher: Elsevier BV","page":"10-20","source":"Crossref","title":"Teacher professional development in teaching and teacher education over ten years","URL":"https://linkinghub.elsevier.com/retrieve/pii/S0742051X10001435","volume":"27","author":[{"family":"Avalos","given":"Beatrice"}],"accessed":{"date-parts":[["2025",5,22]]},"issued":{"date-parts":[["2011",1]]},"citation-key":"avalosTeacherProfessionalDevelopment2011"}},{"id":17590,"uris":["http://zotero.org/users/15409160/items/7ADGNT6M"],"itemData":{"id":17590,"type":"article-journal","abstract":"This paper conceptualizes the development of teacher professionalism as passing through four historical phases in many countries: the pre-professional age, the age of the autonomous professional, the age of the collegial professional and the fourth ageÐ post-professional or postmodern. Current experiences and perceptions of teacher professionalism and professionalization, it is argued, draw on all these ages. Conclusions are drawn regarding new directions in teacher professionalism, and the linking of professional projects to wider social movements for public education and its transformation.","container-title":"Teachers and Teaching","DOI":"10.1080/713698714","ISSN":"1354-0602, 1470-1278","issue":"2","language":"en","note":"publisher: Informa UK Limited","page":"151-182","source":"Crossref","title":"Four ages of professionalism and professional learning","URL":"https://www.tandfonline.com/doi/full/10.1080/713698714","volume":"6","author":[{"family":"Hargreaves","given":"Andy"}],"accessed":{"date-parts":[["2025",5,22]]},"issued":{"date-parts":[["2000",6]]},"citation-key":"hargreavesFourAgesProfessionalism2000"}}],"schema":"https://github.com/citation-style-language/schema/raw/master/csl-citation.json"} </w:instrText>
      </w:r>
      <w:r w:rsidR="00AD7208">
        <w:rPr>
          <w:color w:val="141516"/>
        </w:rPr>
        <w:fldChar w:fldCharType="separate"/>
      </w:r>
      <w:r w:rsidR="007C6926">
        <w:rPr>
          <w:noProof/>
          <w:color w:val="141516"/>
        </w:rPr>
        <w:t>(Avalos, 2011; Hargreaves, 2000)</w:t>
      </w:r>
      <w:r w:rsidR="00AD7208">
        <w:rPr>
          <w:color w:val="141516"/>
        </w:rPr>
        <w:fldChar w:fldCharType="end"/>
      </w:r>
      <w:r>
        <w:rPr>
          <w:color w:val="141516"/>
        </w:rPr>
        <w:t>.</w:t>
      </w:r>
    </w:p>
    <w:p w14:paraId="0CF8A253" w14:textId="0CB8A3DC" w:rsidR="00A9590C" w:rsidRDefault="00A9590C" w:rsidP="00A9590C">
      <w:pPr>
        <w:tabs>
          <w:tab w:val="left" w:pos="1440"/>
          <w:tab w:val="left" w:pos="2160"/>
          <w:tab w:val="left" w:pos="2880"/>
        </w:tabs>
        <w:spacing w:line="480" w:lineRule="auto"/>
        <w:ind w:firstLine="720"/>
      </w:pPr>
      <w:r>
        <w:rPr>
          <w:color w:val="141516"/>
        </w:rPr>
        <w:t>Lastly, there has been a recent push in the literature to work on the macro level of large-scale policy change around the nation</w:t>
      </w:r>
      <w:r w:rsidR="003F65F5">
        <w:rPr>
          <w:color w:val="141516"/>
        </w:rPr>
        <w:t>al</w:t>
      </w:r>
      <w:r>
        <w:rPr>
          <w:color w:val="141516"/>
        </w:rPr>
        <w:t xml:space="preserve"> education system’s antiquated factory model so that schools can become more focused on deeper learning that meets the demands of a modern world’s post-secondary student careers </w:t>
      </w:r>
      <w:r w:rsidR="00AC7CB5">
        <w:rPr>
          <w:color w:val="141516"/>
        </w:rPr>
        <w:fldChar w:fldCharType="begin"/>
      </w:r>
      <w:r w:rsidR="000938F5">
        <w:rPr>
          <w:color w:val="141516"/>
        </w:rPr>
        <w:instrText xml:space="preserve"> ADDIN ZOTERO_ITEM CSL_CITATION {"citationID":"nEmYyIV3","properties":{"formattedCitation":"(Darling-Hammond, 2024; Desimone, 2023)","plainCitation":"(Darling-Hammond, 2024; Desimone, 2023)","noteIndex":0},"citationItems":[{"id":17668,"uris":["http://zotero.org/users/15409160/items/Q3XXGL9K"],"itemData":{"id":17668,"type":"article-journal","abstract":"Highlights\n•\t\nAround the world, nations are grappling with the longstanding inequalities in education and society that were made more visible during the pandemic—along with the increasing educational demands of our fast-changing, knowledge-based world.\n•\t\nThis article outlines the anatomy of educational inequality and the demands for students to develop “learning ability.”\n•\t\nIt argues that to address these issues, we must reinvent education systems—often designed around a now antiquated factory model—so that schools can become more student-centered and supportive of whole child development; focused on deeper learning that meets the demands of today's society; culturally and linguistically connected and sustaining; grounded in collaboration among students, staff, families, and communities; and equitable in the opportunities provided and outcomes achieved.\n•\t\nIt describes policy strategies to accomplish these aims, with a strong emphasis on the changes in educator preparation and in-school supports needed for developing powerful teaching.","container-title":"ECNU Review of Education","DOI":"10.1177/20965311241237238","ISSN":"2096-5311","issue":"2","journalAbbreviation":"ECNU Review of Education","language":"EN","license":"https://creativecommons.org/licenses/by-nc/4.0/","note":"publisher: SAGE Publications Ltd","page":"214-229","source":"SAGE Journals","title":"Reinventing systems for equity","URL":"https://doi.org/10.1177/20965311241237238","volume":"7","author":[{"family":"Darling-Hammond","given":"Linda"}],"accessed":{"date-parts":[["2025",5,22]]},"issued":{"date-parts":[["2024",6,1]]},"citation-key":"darling-hammondReinventingSystemsEquity2024"}},{"id":17388,"uris":["http://zotero.org/users/15409160/items/T9YQEF7Z"],"itemData":{"id":17388,"type":"article-journal","container-title":"Professional Development in Education","DOI":"10.1080/19415257.2023.2162746","ISSN":"1941-5257","issue":"1","note":"publisher: Routledge\n_eprint: https://doi.org/10.1080/19415257.2023.2162746","page":"1-3","source":"Taylor and Francis+NEJM","title":"Rethinking teacher PD: a focus on how to improve student learning","title-short":"Rethinking teacher PD","URL":"https://doi.org/10.1080/19415257.2023.2162746","volume":"49","author":[{"family":"Desimone","given":"Laura M."}],"accessed":{"date-parts":[["2025",5,19]]},"issued":{"date-parts":[["2023",1,2]]},"citation-key":"desimoneRethinkingTeacherPD2023"}}],"schema":"https://github.com/citation-style-language/schema/raw/master/csl-citation.json"} </w:instrText>
      </w:r>
      <w:r w:rsidR="00AC7CB5">
        <w:rPr>
          <w:color w:val="141516"/>
        </w:rPr>
        <w:fldChar w:fldCharType="separate"/>
      </w:r>
      <w:r w:rsidR="00E744D3">
        <w:rPr>
          <w:noProof/>
          <w:color w:val="141516"/>
        </w:rPr>
        <w:t>(Darling-Hammond, 2024; Desimone, 2023)</w:t>
      </w:r>
      <w:r w:rsidR="00AC7CB5">
        <w:rPr>
          <w:color w:val="141516"/>
        </w:rPr>
        <w:fldChar w:fldCharType="end"/>
      </w:r>
      <w:r>
        <w:rPr>
          <w:color w:val="141516"/>
        </w:rPr>
        <w:t>.</w:t>
      </w:r>
    </w:p>
    <w:p w14:paraId="3978001A" w14:textId="77777777" w:rsidR="00A9590C" w:rsidRPr="005A5F0A" w:rsidRDefault="00A9590C" w:rsidP="00572B2E">
      <w:pPr>
        <w:pStyle w:val="Heading2"/>
      </w:pPr>
      <w:r w:rsidRPr="005A5F0A">
        <w:t>Gap in Knowledge</w:t>
      </w:r>
    </w:p>
    <w:p w14:paraId="4BA8B6E4" w14:textId="5C5EE234" w:rsidR="00A9590C" w:rsidRDefault="00A9590C" w:rsidP="00A9590C">
      <w:pPr>
        <w:tabs>
          <w:tab w:val="left" w:pos="1440"/>
          <w:tab w:val="left" w:pos="2160"/>
          <w:tab w:val="left" w:pos="2880"/>
        </w:tabs>
        <w:spacing w:line="480" w:lineRule="auto"/>
        <w:ind w:firstLine="720"/>
      </w:pPr>
      <w:r w:rsidRPr="009B686A">
        <w:rPr>
          <w:lang w:val="en-US"/>
        </w:rPr>
        <w:t xml:space="preserve">As classrooms become more digitally enriched and student populations more diverse, teachers need blended expertise, understanding both how to teach students with varied disabilities and how to leverage technology to do so </w:t>
      </w:r>
      <w:r w:rsidR="00386F72">
        <w:rPr>
          <w:lang w:val="en-US"/>
        </w:rPr>
        <w:fldChar w:fldCharType="begin"/>
      </w:r>
      <w:r w:rsidR="000938F5">
        <w:rPr>
          <w:lang w:val="en-US"/>
        </w:rPr>
        <w:instrText xml:space="preserve"> ADDIN ZOTERO_ITEM CSL_CITATION {"citationID":"Iv49iFVP","properties":{"formattedCitation":"(CAST, 2024)","plainCitation":"(CAST, 2024)","noteIndex":0},"citationItems":[{"id":17692,"uris":["http://zotero.org/users/15409160/items/HEUU2UQP"],"itemData":{"id":17692,"type":"webpage","abstract":"The UDL Guidelines are a tool used in the implementation of Universal Design for Learning, a framework to improve and optimize teaching and learning for all people based on scientific insights into how humans learn.","language":"en-us","title":"Universal design for learning guidelines version 3.0","URL":"https://udlguidelines.cast.org","author":[{"literal":"CAST"}],"accessed":{"date-parts":[["2025",5,22]]},"issued":{"date-parts":[["2024"]]},"citation-key":"castUniversalDesignLearning2024"}}],"schema":"https://github.com/citation-style-language/schema/raw/master/csl-citation.json"} </w:instrText>
      </w:r>
      <w:r w:rsidR="00386F72">
        <w:rPr>
          <w:lang w:val="en-US"/>
        </w:rPr>
        <w:fldChar w:fldCharType="separate"/>
      </w:r>
      <w:r w:rsidR="00561322">
        <w:rPr>
          <w:noProof/>
          <w:lang w:val="en-US"/>
        </w:rPr>
        <w:t>(CAST, 2024)</w:t>
      </w:r>
      <w:r w:rsidR="00386F72">
        <w:rPr>
          <w:lang w:val="en-US"/>
        </w:rPr>
        <w:fldChar w:fldCharType="end"/>
      </w:r>
      <w:r w:rsidRPr="009B686A">
        <w:rPr>
          <w:lang w:val="en-US"/>
        </w:rPr>
        <w:t>. PD initiatives must aim to help teachers of SWD develop their technological knowledge to improve teacher buy-in and ensure implementation fidelity</w:t>
      </w:r>
      <w:r w:rsidR="00561322">
        <w:rPr>
          <w:lang w:val="en-US"/>
        </w:rPr>
        <w:t xml:space="preserve"> </w:t>
      </w:r>
      <w:r w:rsidR="00561322">
        <w:rPr>
          <w:lang w:val="en-US"/>
        </w:rPr>
        <w:fldChar w:fldCharType="begin"/>
      </w:r>
      <w:r w:rsidR="000938F5">
        <w:rPr>
          <w:lang w:val="en-US"/>
        </w:rPr>
        <w:instrText xml:space="preserve"> ADDIN ZOTERO_ITEM CSL_CITATION {"citationID":"emjJW1vt","properties":{"formattedCitation":"(Evmenova et al., 2023)","plainCitation":"(Evmenova et al., 2023)","noteIndex":0},"citationItems":[{"id":16332,"uris":["http://zotero.org/users/15409160/items/DQPKGQ68"],"itemData":{"id":16332,"type":"article-journal","abstract":"While technology-based interventions enhance instruction and improve outcomes for students with disabilities, implementing and integrating technology in authentic learning environments continues to be a challenge. Based on the experiences of a variety of Stepping-Up Technology Implementation projects funded by the U.S. Department of Education, Office of Special Education Programs, this mixed-methods study explored the essential factors for the successful implementation of technology-based interventions in K-12 schools and early childhood programs. Based on the qualitative analysis of projects? implementation reports and responses to the follow-up questionnaire, four major themes emerged. The barriers and facilitators to technology implementation were reported across such areas as (a) developing and sustaining buy-in, (b) ensuring implementation fidelity to support the intervention, (c) research-to-practice dilemmas, and (d) data serving multiple purposes. The discussion and practical implications for supporting technology implementation are provided.","container-title":"Journal of Special Education Technology","DOI":"10.1177/01626434221074357","ISSN":"0162-6434","issue":"1","journalAbbreviation":"J Spec Educ Technol","note":"publisher: SAGE Publications Inc\nTLDR: The barriers and facilitators to technology implementation were reported across such areas as developing and sustaining buy-in, ensuring implementation fidelity to support the intervention, research-to-practice dilemmas, and data serving multiple purposes.","page":"61-74","source":"SAGE Journals","title":"Stepping-up technology implementation—how does it happen?","URL":"https://doi.org/10.1177/01626434221074357","volume":"38","author":[{"family":"Evmenova","given":"Anya S."},{"family":"Regan","given":"Kelley S."},{"family":"Schladant","given":"Michelle"},{"family":"Hall","given":"Tracey E."},{"family":"Buzhardt","given":"Jay"},{"family":"Erickson","given":"Karen A."},{"family":"Ai","given":"Jun"},{"family":"Sudduth","given":"Christina"},{"family":"Jackson","given":"Terry"}],"accessed":{"date-parts":[["2025",2,18]]},"issued":{"date-parts":[["2023",3,1]]},"citation-key":"evmenovaSteppingupTechnologyImplementation2023"}}],"schema":"https://github.com/citation-style-language/schema/raw/master/csl-citation.json"} </w:instrText>
      </w:r>
      <w:r w:rsidR="00561322">
        <w:rPr>
          <w:lang w:val="en-US"/>
        </w:rPr>
        <w:fldChar w:fldCharType="separate"/>
      </w:r>
      <w:r w:rsidR="000C715B">
        <w:rPr>
          <w:noProof/>
          <w:lang w:val="en-US"/>
        </w:rPr>
        <w:t>(Evmenova et al., 2023)</w:t>
      </w:r>
      <w:r w:rsidR="00561322">
        <w:rPr>
          <w:lang w:val="en-US"/>
        </w:rPr>
        <w:fldChar w:fldCharType="end"/>
      </w:r>
      <w:r w:rsidRPr="009B686A">
        <w:rPr>
          <w:lang w:val="en-US"/>
        </w:rPr>
        <w:t>. The Technological-Pedagogical-Content Knowledge (TPACK) Framework is one model the interaction of a teacher’s ability to use technology effectively in the classroom with the rest of the personal experience they bring to the professional setting</w:t>
      </w:r>
      <w:r w:rsidR="000C715B">
        <w:rPr>
          <w:lang w:val="en-US"/>
        </w:rPr>
        <w:t xml:space="preserve"> </w:t>
      </w:r>
      <w:r w:rsidR="000C715B">
        <w:rPr>
          <w:lang w:val="en-US"/>
        </w:rPr>
        <w:fldChar w:fldCharType="begin"/>
      </w:r>
      <w:r w:rsidR="000938F5">
        <w:rPr>
          <w:lang w:val="en-US"/>
        </w:rPr>
        <w:instrText xml:space="preserve"> ADDIN ZOTERO_ITEM CSL_CITATION {"citationID":"lZy7tXr8","properties":{"formattedCitation":"(Edyburn, 2013)","plainCitation":"(Edyburn, 2013)","noteIndex":0},"citationItems":[{"id":17623,"uris":["http://zotero.org/users/15409160/items/PRPZZKSF","http://zotero.org/users/15409160/items/9FTMUDJ5"],"itemData":{"id":17623,"type":"article-journal","abstract":"The field ofspecial education technology is devoted to a variety of activities that ultimately serve to augment, bypass, or compensate for a disability. Much like a kaleidoscope, perceptions ofthe field may be viewed through the reflection ofmultiple lenses. The three lenses of innovation: policy, and theory provide a mechanism for filtering, viewing, and using the special education technology research and practice knowledge base. This article examines characteristics ofthe emerging special education technology knowledge base when viewed through each ofthe three lenses. The intent is to provide readers with an analysis ofqualities found in the emerging special education knowledge base in order to highlight critical issues needed to advance the evidence base ofthe field through future research, theory, development, policy, andpractice.","container-title":"Exceptional Children","DOI":"10.1177/001440291308000107","ISSN":"0014-4029, 2163-5560","issue":"1","language":"en","license":"https://journals.sagepub.com/page/policies/text-and-data-mining-license","note":"publisher: SAGE Publications","page":"7-24","source":"Crossref","title":"Critical issues in advancing the special education technology evidence base","URL":"https://journals.sagepub.com/doi/10.1177/001440291308000107","volume":"80","author":[{"family":"Edyburn","given":"Dave L."}],"accessed":{"date-parts":[["2025",5,22]]},"issued":{"date-parts":[["2013",10]]},"citation-key":"edyburnCriticalIssuesAdvancing2013"}}],"schema":"https://github.com/citation-style-language/schema/raw/master/csl-citation.json"} </w:instrText>
      </w:r>
      <w:r w:rsidR="000C715B">
        <w:rPr>
          <w:lang w:val="en-US"/>
        </w:rPr>
        <w:fldChar w:fldCharType="separate"/>
      </w:r>
      <w:r w:rsidR="000C715B">
        <w:rPr>
          <w:noProof/>
          <w:lang w:val="en-US"/>
        </w:rPr>
        <w:t>(Edyburn, 2013)</w:t>
      </w:r>
      <w:r w:rsidR="000C715B">
        <w:rPr>
          <w:lang w:val="en-US"/>
        </w:rPr>
        <w:fldChar w:fldCharType="end"/>
      </w:r>
      <w:r w:rsidRPr="009B686A">
        <w:rPr>
          <w:lang w:val="en-US"/>
        </w:rPr>
        <w:t xml:space="preserve">. For example, a teacher might learn about a new literacy software and how to adapt it for students with reading disabilities and monitor their progress. </w:t>
      </w:r>
    </w:p>
    <w:p w14:paraId="227D33AE" w14:textId="1549EE6B" w:rsidR="00A9590C" w:rsidRDefault="00A9590C" w:rsidP="00245CEC">
      <w:pPr>
        <w:tabs>
          <w:tab w:val="left" w:pos="1440"/>
          <w:tab w:val="left" w:pos="2160"/>
          <w:tab w:val="left" w:pos="2880"/>
        </w:tabs>
        <w:spacing w:line="480" w:lineRule="auto"/>
        <w:ind w:firstLine="720"/>
      </w:pPr>
      <w:r w:rsidRPr="009B686A">
        <w:rPr>
          <w:lang w:val="en-US"/>
        </w:rPr>
        <w:t>Recent literature underscores the need for this convergence.</w:t>
      </w:r>
      <w:r w:rsidR="0056536C">
        <w:rPr>
          <w:lang w:val="en-US"/>
        </w:rPr>
        <w:t xml:space="preserve"> </w:t>
      </w:r>
      <w:r w:rsidR="004A4287" w:rsidRPr="009B686A">
        <w:rPr>
          <w:lang w:val="en-US"/>
        </w:rPr>
        <w:t xml:space="preserve">Emerling et al. </w:t>
      </w:r>
      <w:r w:rsidR="0056536C">
        <w:rPr>
          <w:lang w:val="en-US"/>
        </w:rPr>
        <w:fldChar w:fldCharType="begin"/>
      </w:r>
      <w:r w:rsidR="000938F5">
        <w:rPr>
          <w:lang w:val="en-US"/>
        </w:rPr>
        <w:instrText xml:space="preserve"> ADDIN ZOTERO_ITEM CSL_CITATION {"citationID":"zrnzJ6iz","properties":{"formattedCitation":"(2021)","plainCitation":"(2021)","noteIndex":0},"citationItems":[{"id":1384,"uris":["http://zotero.org/users/15409160/items/2MYDGZQN"],"itemData":{"id":1384,"type":"article-journal","abstract":"Emerging trends and advancements in technology allow educators to develop dynamic learning environments to support their students’ academic and behavioral needs. The study documented the lived experience of special educators using assistive technology (AT) to support behavioral challenges in students with disabilities and the environmental factors that support educator’s use of AT. Fifteen educators who worked in K–12 schools participated in semi-structured interviews and completed a researcher-developed Assistive Technology Treatment Integrity Checklist (ATTIC). This exploratory study indicated that participants had limited experiences using AT to target challenging behaviors. However, participants used technology to support evidence-based interventions or customized instructional technologies to manage students’ needs. Our findings also indicated that school structures impacted AT-related attitudes and eventual use. The findings from this study add to the literature on technology supports for students with challenging behaviors. Implications for practice and future research are also discussed.","container-title":"Journal of Special Education Technology","DOI":"10.1177/01626434211034803","ISSN":"0162-6434","issue":"3","journalAbbreviation":"J Spec Educ Technol","language":"en","note":"publisher: SAGE Publications Inc","page":"162-174","source":"SAGE Journals","title":"Educator knowledge and implementation of assistive technology to support challenging behaviors: An exploratory inquiry","title-short":"Educator knowledge and implementation of assistive technology to support challenging behaviors","URL":"https://doi.org/10.1177/01626434211034803","volume":"36","author":[{"family":"Emerling","given":"Christopher R."},{"family":"Wilkinson","given":"Sarah"},{"family":"Maggin","given":"Daniel M."}],"accessed":{"date-parts":[["2024",10,19]]},"issued":{"date-parts":[["2021",9,1]]},"citation-key":"emerlingEducatorKnowledgeImplementation2021"},"suppress-author":true}],"schema":"https://github.com/citation-style-language/schema/raw/master/csl-citation.json"} </w:instrText>
      </w:r>
      <w:r w:rsidR="0056536C">
        <w:rPr>
          <w:lang w:val="en-US"/>
        </w:rPr>
        <w:fldChar w:fldCharType="separate"/>
      </w:r>
      <w:r w:rsidR="004A4287">
        <w:rPr>
          <w:noProof/>
          <w:lang w:val="en-US"/>
        </w:rPr>
        <w:t>(2021)</w:t>
      </w:r>
      <w:r w:rsidR="0056536C">
        <w:rPr>
          <w:lang w:val="en-US"/>
        </w:rPr>
        <w:fldChar w:fldCharType="end"/>
      </w:r>
      <w:r w:rsidRPr="009B686A">
        <w:rPr>
          <w:lang w:val="en-US"/>
        </w:rPr>
        <w:t xml:space="preserve"> found that special educators had limited experience using assistive technologies to support students with behavioral challenges, in part because they had little training in how to do so. By providing PD that simultaneously builds skills in special education strategies and technology integration, </w:t>
      </w:r>
      <w:r w:rsidRPr="009B686A">
        <w:rPr>
          <w:lang w:val="en-US"/>
        </w:rPr>
        <w:lastRenderedPageBreak/>
        <w:t>schools can empower teachers to create more inclusive and equitable learning environments</w:t>
      </w:r>
      <w:r w:rsidR="004A4287">
        <w:rPr>
          <w:lang w:val="en-US"/>
        </w:rPr>
        <w:t xml:space="preserve"> </w:t>
      </w:r>
      <w:r w:rsidR="004A4287">
        <w:rPr>
          <w:lang w:val="en-US"/>
        </w:rPr>
        <w:fldChar w:fldCharType="begin"/>
      </w:r>
      <w:r w:rsidR="000938F5">
        <w:rPr>
          <w:lang w:val="en-US"/>
        </w:rPr>
        <w:instrText xml:space="preserve"> ADDIN ZOTERO_ITEM CSL_CITATION {"citationID":"dBAMBK2J","properties":{"formattedCitation":"(Chun &amp; Williams, 2021; Emerling et al., 2021)","plainCitation":"(Chun &amp; Williams, 2021; Emerling et al., 2021)","noteIndex":0},"citationItems":[{"id":1884,"uris":["http://zotero.org/users/15409160/items/LRLH79LT"],"itemData":{"id":1884,"type":"article-journal","abstract":"This research investigates the characteristics of a faculty inquiry group, a learning community in which faculty and staff can learn technology integration to enhance accessibility for students with disabilities in higher education, based on Wenger's 14 indicators (1998) and their learning effects. The results reveal that this faculty inquiry group included all indicators of a community of practice. Faculty and staff learned about accessibility issues and related assistive technologies. For this community of practice to obtain success, it was necessary for members to understand various perspectives of technology integration for accessibility in a safe learning environment with a strong structural design.","container-title":"College Teaching","DOI":"10.1080/87567555.2020.1832435","ISSN":"87567555","issue":"3","note":"publisher: Taylor &amp; Francis Ltd","page":"126-137","source":"EBSCOhost","title":"A community of practice for professional development in technology integrations for accessibility: a case study of a faculty inquiry group","title-short":"A community of practice for professional development in technology integrations for accessibility","URL":"https://www2.lib.ku.edu/login?URL=https://search.ebscohost.com/login.aspx?direct=true&amp;db=aph&amp;AN=150938060&amp;site=ehost-live","volume":"69","author":[{"family":"Chun","given":"Jeeyoung"},{"family":"Williams","given":"Thomas O."}],"accessed":{"date-parts":[["2024",11,1]]},"issued":{"date-parts":[["2021",7]]},"citation-key":"chunCommunityPracticeProfessional2021"}},{"id":1384,"uris":["http://zotero.org/users/15409160/items/2MYDGZQN"],"itemData":{"id":1384,"type":"article-journal","abstract":"Emerging trends and advancements in technology allow educators to develop dynamic learning environments to support their students’ academic and behavioral needs. The study documented the lived experience of special educators using assistive technology (AT) to support behavioral challenges in students with disabilities and the environmental factors that support educator’s use of AT. Fifteen educators who worked in K–12 schools participated in semi-structured interviews and completed a researcher-developed Assistive Technology Treatment Integrity Checklist (ATTIC). This exploratory study indicated that participants had limited experiences using AT to target challenging behaviors. However, participants used technology to support evidence-based interventions or customized instructional technologies to manage students’ needs. Our findings also indicated that school structures impacted AT-related attitudes and eventual use. The findings from this study add to the literature on technology supports for students with challenging behaviors. Implications for practice and future research are also discussed.","container-title":"Journal of Special Education Technology","DOI":"10.1177/01626434211034803","ISSN":"0162-6434","issue":"3","journalAbbreviation":"J Spec Educ Technol","language":"en","note":"publisher: SAGE Publications Inc","page":"162-174","source":"SAGE Journals","title":"Educator knowledge and implementation of assistive technology to support challenging behaviors: An exploratory inquiry","title-short":"Educator knowledge and implementation of assistive technology to support challenging behaviors","URL":"https://doi.org/10.1177/01626434211034803","volume":"36","author":[{"family":"Emerling","given":"Christopher R."},{"family":"Wilkinson","given":"Sarah"},{"family":"Maggin","given":"Daniel M."}],"accessed":{"date-parts":[["2024",10,19]]},"issued":{"date-parts":[["2021",9,1]]},"citation-key":"emerlingEducatorKnowledgeImplementation2021"}}],"schema":"https://github.com/citation-style-language/schema/raw/master/csl-citation.json"} </w:instrText>
      </w:r>
      <w:r w:rsidR="004A4287">
        <w:rPr>
          <w:lang w:val="en-US"/>
        </w:rPr>
        <w:fldChar w:fldCharType="separate"/>
      </w:r>
      <w:r w:rsidR="00413B8B">
        <w:rPr>
          <w:noProof/>
          <w:lang w:val="en-US"/>
        </w:rPr>
        <w:t>(Chun &amp; Williams, 2021; Emerling et al., 2021)</w:t>
      </w:r>
      <w:r w:rsidR="004A4287">
        <w:rPr>
          <w:lang w:val="en-US"/>
        </w:rPr>
        <w:fldChar w:fldCharType="end"/>
      </w:r>
      <w:r w:rsidRPr="009B686A">
        <w:rPr>
          <w:lang w:val="en-US"/>
        </w:rPr>
        <w:t>. Early evidence shows promising outcomes from such integrated efforts</w:t>
      </w:r>
      <w:r w:rsidR="00A54CA4">
        <w:rPr>
          <w:lang w:val="en-US"/>
        </w:rPr>
        <w:t>, though at the higher education level,</w:t>
      </w:r>
      <w:r w:rsidRPr="009B686A">
        <w:rPr>
          <w:lang w:val="en-US"/>
        </w:rPr>
        <w:t xml:space="preserve"> with </w:t>
      </w:r>
      <w:r w:rsidR="00413B8B">
        <w:rPr>
          <w:lang w:val="en-US"/>
        </w:rPr>
        <w:t xml:space="preserve">Chun and Williams </w:t>
      </w:r>
      <w:r w:rsidR="00413B8B">
        <w:rPr>
          <w:lang w:val="en-US"/>
        </w:rPr>
        <w:fldChar w:fldCharType="begin"/>
      </w:r>
      <w:r w:rsidR="000938F5">
        <w:rPr>
          <w:lang w:val="en-US"/>
        </w:rPr>
        <w:instrText xml:space="preserve"> ADDIN ZOTERO_ITEM CSL_CITATION {"citationID":"yx1IHSO7","properties":{"formattedCitation":"(2021)","plainCitation":"(2021)","noteIndex":0},"citationItems":[{"id":1884,"uris":["http://zotero.org/users/15409160/items/LRLH79LT"],"itemData":{"id":1884,"type":"article-journal","abstract":"This research investigates the characteristics of a faculty inquiry group, a learning community in which faculty and staff can learn technology integration to enhance accessibility for students with disabilities in higher education, based on Wenger's 14 indicators (1998) and their learning effects. The results reveal that this faculty inquiry group included all indicators of a community of practice. Faculty and staff learned about accessibility issues and related assistive technologies. For this community of practice to obtain success, it was necessary for members to understand various perspectives of technology integration for accessibility in a safe learning environment with a strong structural design.","container-title":"College Teaching","DOI":"10.1080/87567555.2020.1832435","ISSN":"87567555","issue":"3","note":"publisher: Taylor &amp; Francis Ltd","page":"126-137","source":"EBSCOhost","title":"A community of practice for professional development in technology integrations for accessibility: a case study of a faculty inquiry group","title-short":"A community of practice for professional development in technology integrations for accessibility","URL":"https://www2.lib.ku.edu/login?URL=https://search.ebscohost.com/login.aspx?direct=true&amp;db=aph&amp;AN=150938060&amp;site=ehost-live","volume":"69","author":[{"family":"Chun","given":"Jeeyoung"},{"family":"Williams","given":"Thomas O."}],"accessed":{"date-parts":[["2024",11,1]]},"issued":{"date-parts":[["2021",7]]},"citation-key":"chunCommunityPracticeProfessional2021"},"suppress-author":true}],"schema":"https://github.com/citation-style-language/schema/raw/master/csl-citation.json"} </w:instrText>
      </w:r>
      <w:r w:rsidR="00413B8B">
        <w:rPr>
          <w:lang w:val="en-US"/>
        </w:rPr>
        <w:fldChar w:fldCharType="separate"/>
      </w:r>
      <w:r w:rsidR="0064402F">
        <w:rPr>
          <w:noProof/>
          <w:lang w:val="en-US"/>
        </w:rPr>
        <w:t>(2021)</w:t>
      </w:r>
      <w:r w:rsidR="00413B8B">
        <w:rPr>
          <w:lang w:val="en-US"/>
        </w:rPr>
        <w:fldChar w:fldCharType="end"/>
      </w:r>
      <w:r w:rsidRPr="009B686A">
        <w:rPr>
          <w:lang w:val="en-US"/>
        </w:rPr>
        <w:t xml:space="preserve"> reporting that </w:t>
      </w:r>
      <w:r w:rsidR="00A54CA4">
        <w:rPr>
          <w:lang w:val="en-US"/>
        </w:rPr>
        <w:t>faculty</w:t>
      </w:r>
      <w:r w:rsidRPr="009B686A">
        <w:rPr>
          <w:lang w:val="en-US"/>
        </w:rPr>
        <w:t xml:space="preserve"> who participated in inquiry-based PD incorporating assistive tech showed improved competency and more positive mindsets about their students’ abilities. </w:t>
      </w:r>
      <w:r w:rsidR="00A70B42">
        <w:rPr>
          <w:lang w:val="en-US"/>
        </w:rPr>
        <w:t xml:space="preserve">Evidence is building that </w:t>
      </w:r>
      <w:r w:rsidRPr="009B686A">
        <w:rPr>
          <w:lang w:val="en-US"/>
        </w:rPr>
        <w:t>more cohesi</w:t>
      </w:r>
      <w:r w:rsidR="00245CEC">
        <w:rPr>
          <w:lang w:val="en-US"/>
        </w:rPr>
        <w:t>on</w:t>
      </w:r>
      <w:r w:rsidRPr="009B686A">
        <w:rPr>
          <w:lang w:val="en-US"/>
        </w:rPr>
        <w:t xml:space="preserve"> in </w:t>
      </w:r>
      <w:r w:rsidR="00A70B42">
        <w:rPr>
          <w:lang w:val="en-US"/>
        </w:rPr>
        <w:t xml:space="preserve">special educator </w:t>
      </w:r>
      <w:r w:rsidRPr="009B686A">
        <w:rPr>
          <w:lang w:val="en-US"/>
        </w:rPr>
        <w:t xml:space="preserve">PD </w:t>
      </w:r>
      <w:r w:rsidR="00245CEC">
        <w:rPr>
          <w:lang w:val="en-US"/>
        </w:rPr>
        <w:t xml:space="preserve">at the intersection of ET </w:t>
      </w:r>
      <w:r w:rsidR="006A647B">
        <w:rPr>
          <w:lang w:val="en-US"/>
        </w:rPr>
        <w:t>improves overall teacher TPACK</w:t>
      </w:r>
      <w:r w:rsidRPr="009B686A">
        <w:rPr>
          <w:lang w:val="en-US"/>
        </w:rPr>
        <w:t xml:space="preserve"> to better support SWD</w:t>
      </w:r>
      <w:r w:rsidR="00D673B2">
        <w:rPr>
          <w:lang w:val="en-US"/>
        </w:rPr>
        <w:t xml:space="preserve"> </w:t>
      </w:r>
      <w:r w:rsidR="00D673B2">
        <w:rPr>
          <w:lang w:val="en-US"/>
        </w:rPr>
        <w:fldChar w:fldCharType="begin"/>
      </w:r>
      <w:r w:rsidR="00FF4A85">
        <w:rPr>
          <w:lang w:val="en-US"/>
        </w:rPr>
        <w:instrText xml:space="preserve"> ADDIN ZOTERO_ITEM CSL_CITATION {"citationID":"MdVPOpRi","properties":{"formattedCitation":"(Anderson &amp; Putman, 2023; Atanga et al., 2020; Ciampa, 2017; Goldman et al., 2024; Windfont, 2024)","plainCitation":"(Anderson &amp; Putman, 2023; Atanga et al., 2020; Ciampa, 2017; Goldman et al., 2024; Windfont, 2024)","noteIndex":0},"citationItems":[{"id":11625,"uris":["http://zotero.org/users/15409160/items/D6E8446B"],"itemData":{"id":11625,"type":"article-journal","abstract":"This collective case study of three elementary-level special education teachers investigated their knowledge, decision-making, reasoning, and actions while planning and implementing technology-integrated instruction in schools for students with learning differences. The results contribute to a strand of research that focuses on how teachers exhibit technological pedagogical and content knowledge (TPACK) in their thinking and practice and add to the scarce literature on the TPACK framework in special education contexts. The researchers conducted and recorded three interviews and two observations, using stimulated recall to identify instructional decisions. Qualitative thematic analysis of transcripts, individual case studies, and a cross case analysis revealed the kinds of knowledge and reasoning teachers employed when making decisions regarding technology integration. Technological pedagogical knowledge predominated their statements regarding technology-related decisions. The findings illustrate the interconnected ways in which the teachers engaged in educational processes that reflected TPACK and technological pedagogical reasoning and action (TPR&amp;A). They made numerous planning and in-the-moment decisions related to comprehension, transformation (e.g., selection, representation, preparation), instructional interactions (e.g., adaptation, scaffolding, management), evaluation, reflection, and new comprehension. The findings suggest that professional development efforts should not only address technological knowledge and skills but also seek to improve teachers’ decision making and reasoning processes for planning and implementing technology in learning environments that include students with learning differences.","container-title":"Education and Information Technologies","DOI":"10.1007/s10639-022-11358-0","ISSN":"1360-2357, 1573-7608","issue":"8","journalAbbreviation":"Educ Inf Technol","language":"en","note":"TLDR: The findings suggest that professional development efforts should not only address technological knowledge and skills but also seek to improve teachers’ decision making and reasoning processes for planning and implementing technology in learning environments that include students with learning differences.","page":"9459-9481","source":"DOI.org (Crossref)","title":"Elementary special education teachers’ thinking while planning and implementing technology-integrated lessons","URL":"https://link.springer.com/10.1007/s10639-022-11358-0","volume":"28","author":[{"family":"Anderson","given":"Susan E."},{"family":"Putman","given":"Rebecca S."}],"accessed":{"date-parts":[["2025",1,1]]},"issued":{"date-parts":[["2023",8]]},"citation-key":"andersonElementarySpecialEducation2023"}},{"id":17607,"uris":["http://zotero.org/users/15409160/items/Q4AWJXCA"],"itemData":{"id":17607,"type":"article-journal","abstract":"Assistive technology (AT) helps bridge the gap between students with learning disabilities (LD) and their peers without LD. However, this implies a need for teachers to become well-trained and proficient in the use of AT. There are established AT competencies for educators, and AT services professionals must be knowledgeable about AT to select and recommend specific technology to individual education program teams. Professionals should also be well-versed with AT to be able to train students in its use. There is a significant need for research on teachers’ knowledge and perceptions of AT (i.e., interest in using it and barriers to incorporating it) as well as the best ways to provide AT training. To investigate these areas, a survey was administered to teachers of students with LD at the elementary and middle school levels. Our results indicated that completing an AT course in college along with self-reported AT proficiency in iPad reading apps were associated with higher ratings of AT knowledge. Additionally, higher AT proficiency ratings and completing AT college course work were associated with perceptions of college preparation of AT, but these factors did not predict perceptions of workplace preparation. Teachers were clearly interested in utilizing AT but felt their college did not adequately prepare them in AT, and funding issues were the most common barriers to implementing AT. Our findings suggest a need for an emphasis on AT training in college courses.","container-title":"Journal of Special Education Technology","DOI":"10.1177/0162643419864858","ISSN":"0162-6434, 2381-3121","issue":"4","journalAbbreviation":"J Spec Educ Technol","language":"en","license":"https://journals.sagepub.com/page/policies/text-and-data-mining-license","note":"publisher: SAGE Publications","page":"236-248","source":"Crossref","title":"Teachers of students with learning disabilities: Assistive technology knowledge, perceptions, interests, and barriers","title-short":"Teachers of students with learning disabilities","URL":"https://journals.sagepub.com/doi/10.1177/0162643419864858","volume":"35","author":[{"family":"Atanga","given":"Comfort"},{"family":"Jones","given":"Beth A."},{"family":"Krueger","given":"Lacy E."},{"family":"Lu","given":"Shulan"}],"accessed":{"date-parts":[["2025",5,22]]},"issued":{"date-parts":[["2020",12]]},"citation-key":"atangaTeachersStudentsLearning2020"}},{"id":16288,"uris":["http://zotero.org/users/15409160/items/9LP2UI7Y"],"itemData":{"id":16288,"type":"article-journal","abstract":"This single-site case study describes the outcomes and lessons learned from the implementation of a technology professional development initiative aimed at helping three special education teachers from an urban elementary school learn how to infuse technology in their content literacy instruction. Three types of qualitative data were collected: (a) researcher`s anecdotal notes during the professional learning sessions; (b) teachers’ reﬂection blog entries; and (c) student artifacts (i.e., digital exit tickets, student work samples). The impact of the technology professional development on teachers’ self-eﬃcacy beliefs and Technological Pedagogical Content Knowledge for content literacy instruction, changes in teachers’ content literacy instructional and assessment practices, and the inﬂuence of teachers’ technology professional development on the content literacy learning of students with disabilities are discussed. Recommendations for future professional development programs focused on technology are oﬀered. This study has important implications for urban, high-needs students who need to have equitable access to 21st century digital literacy skills across the content areas in order for them to become college and career ready.","archive":"ERIC","archive_location":"1895978015; EJ1133240","container-title":"Literacy Research and Instruction","DOI":"10.1080/19388071.2017.1280863","ISSN":"1938-8071, 1938-8063","issue":"2","journalAbbreviation":"Literacy Research and Instruction","language":"en","page":"85-113","source":"DOI.org (Crossref)","title":"Building bridges between technology and content literacy in special education: Lessons learned from special educators’ use of integrated technology and perceived benefits for students","title-short":"Building bridges between technology and content literacy in special education","URL":"https://www.tandfonline.com/doi/full/10.1080/19388071.2017.1280863","volume":"56","author":[{"family":"Ciampa","given":"Katia"}],"accessed":{"date-parts":[["2025",2,26]]},"issued":{"date-parts":[["2017",4,3]]},"citation-key":"ciampaBuildingBridgesTechnology2017"}},{"id":1036,"uris":["http://zotero.org/users/15409160/items/4FFVL6AL"],"itemData":{"id":1036,"type":"article-journal","abstract":"With the introduction of artificial intelligence (AI), specifically generative AI and large language models (e.g., ChatGPT, Google Gemini), into education, there is a conversation regarding what knowledge teachers still need and will need moving forward. In this article, we describe how AI can, and should, be aligned to the Technological Knowledge, Pedagogical Knowledge, and Content Knowledge (TPACK) framework, as a part of special education teacher preparation. Additionally, we explore the implications of AI on the TPACK framework, specifically how AI can be integrated within each of the three components, specific tools that support each aspect, and guiding questions that teacher-educators and pre-service teachers should be using when considering AI. We will provide teacher-educators with example activities they can use with their pre-service teachers to introduce AI and integrate its use within their curriculum, framed within the TPACK.","container-title":"Journal of Special Education Preparation","DOI":"10.33043/6zx26bb2","ISSN":"2768-1432","issue":"2","language":"en","license":"Copyright (c) 2024 Samantha R. Goldman, Adam Carreon, Sean J. Smith","note":"number: 2\nTLDR: How AI can, and should, be aligned to the Technological Knowledge, Pedagogical Knowledge, and Content Knowledge (TPACK) framework, as a part of special education teacher preparation is described.","page":"52-64","source":"openjournals.bsu.edu","title":"Exploring the integration of artificial intelligence into special education teacher preparation through the TPACK framework","URL":"https://openjournals.bsu.edu/JOSEP/article/view/5537","volume":"4","author":[{"family":"Goldman","given":"Samantha"},{"family":"Carreon","given":"Adam"},{"family":"Smith","given":"Sean"}],"accessed":{"date-parts":[["2024",10,19]]},"issued":{"date-parts":[["2024",9,2]]},"citation-key":"goldmanExploringIntegrationArtificial2024"}},{"id":16794,"uris":["http://zotero.org/users/15409160/items/XQFMHVWC"],"itemData":{"id":16794,"type":"thesis","abstract":"At a mid-size suburban school district located in Texas, secondary special education  teachers are not integrating technology routinely into their content-based lessons, thereby  not ensuring special education students have access to a guaranteed viable curriculum.  The purpose of this basic qualitative research study was to explore secondary teachers'  descriptions of their technological pedagogical content knowledge in relation to their  subject-matter expertise and the factors that affect their technology integration decisions.  Mishra and Koehler’s technological pedagogical content knowledge (TPACK)  conceptual framework grounded this study. The research questions sought to gain  knowledge regarding the factors secondary special education teachers describe as  influencing their instructional decisions to integrate technology into lessons for their  students. Purposeful sampling was used in the participant selection. Data was collected  from 15 semistructured interviews video recorded and transcribed. The data was analyzed  using Braun and Clarke’s six-phase thematic analysis. The results of the analysis revealed  key factors that influenced their instructional decisions: tools and practice, professional  development, digital shifts, and TPACK. The recommendation for future research is that  multiple data sources should be used to triangulate data. This study may positively impact  social change by gaining a better understanding of ways to assist secondary special  education and general education teachers with technology integration and prepare  students using 21st-century skills that will enable them to compete and succeed  academically.","archive":"ProQuest Dissertations &amp; Theses Global; Publicly Available Content Database","archive_location":"2922240137","event-place":"United States -- Minnesota","genre":"Ed.D.","language":"en","number-of-pages":"171","publisher":"Walden University","publisher-place":"United States -- Minnesota","source":"Zotero","title":"Secondary special education teachers’ perception of technology integration and its use  in classroom instructions","URL":"https://proquest.com/dissertations-theses/secondary-special-education-teachers-perception/docview/2922240137/se-2","author":[{"family":"Windfont","given":"Carla Mills"}],"issued":{"date-parts":[["2024"]]},"citation-key":"windfontSecondarySpecialEducation2024"}}],"schema":"https://github.com/citation-style-language/schema/raw/master/csl-citation.json"} </w:instrText>
      </w:r>
      <w:r w:rsidR="00D673B2">
        <w:rPr>
          <w:lang w:val="en-US"/>
        </w:rPr>
        <w:fldChar w:fldCharType="separate"/>
      </w:r>
      <w:r w:rsidR="006B58F4">
        <w:rPr>
          <w:noProof/>
          <w:lang w:val="en-US"/>
        </w:rPr>
        <w:t>(Anderson &amp; Putman, 2023; Atanga et al., 2020; Ciampa, 2017; Goldman et al., 2024; Windfont, 2024)</w:t>
      </w:r>
      <w:r w:rsidR="00D673B2">
        <w:rPr>
          <w:lang w:val="en-US"/>
        </w:rPr>
        <w:fldChar w:fldCharType="end"/>
      </w:r>
      <w:r w:rsidR="009A71B8">
        <w:rPr>
          <w:lang w:val="en-US"/>
        </w:rPr>
        <w:t>.</w:t>
      </w:r>
    </w:p>
    <w:p w14:paraId="38344E70" w14:textId="77777777" w:rsidR="00A9590C" w:rsidRDefault="00A9590C" w:rsidP="00572B2E">
      <w:pPr>
        <w:pStyle w:val="Heading2"/>
      </w:pPr>
      <w:r>
        <w:t>Purpose of the Review</w:t>
      </w:r>
    </w:p>
    <w:p w14:paraId="49B1E951" w14:textId="2374F008" w:rsidR="00A9590C" w:rsidRDefault="00A9590C" w:rsidP="00A9590C">
      <w:pPr>
        <w:tabs>
          <w:tab w:val="left" w:pos="1440"/>
          <w:tab w:val="left" w:pos="2160"/>
          <w:tab w:val="left" w:pos="2880"/>
        </w:tabs>
        <w:spacing w:line="480" w:lineRule="auto"/>
        <w:ind w:firstLine="720"/>
      </w:pPr>
      <w:r w:rsidRPr="009B686A">
        <w:rPr>
          <w:lang w:val="en-US"/>
        </w:rPr>
        <w:t xml:space="preserve">While </w:t>
      </w:r>
      <w:r w:rsidR="00364CD6">
        <w:rPr>
          <w:lang w:val="en-US"/>
        </w:rPr>
        <w:t>there is literature</w:t>
      </w:r>
      <w:r w:rsidRPr="009B686A">
        <w:rPr>
          <w:lang w:val="en-US"/>
        </w:rPr>
        <w:t xml:space="preserve"> about effective ways to change teacher practice, less is known about how these principles apply to special education at the intersection of </w:t>
      </w:r>
      <w:r w:rsidR="00820A20">
        <w:rPr>
          <w:lang w:val="en-US"/>
        </w:rPr>
        <w:t>ET</w:t>
      </w:r>
      <w:r w:rsidRPr="009B686A">
        <w:rPr>
          <w:lang w:val="en-US"/>
        </w:rPr>
        <w:t xml:space="preserve"> competencies that impact learning for SWD. Special educators often face unique instructional demands, including addressing diverse learner needs, implementing individualized education programs (IEPs), and navigating multiple curricular and behavioral frameworks. This review aims to </w:t>
      </w:r>
      <w:r w:rsidR="001E11C2" w:rsidRPr="009B686A">
        <w:rPr>
          <w:lang w:val="en-US"/>
        </w:rPr>
        <w:t>name</w:t>
      </w:r>
      <w:r w:rsidRPr="009B686A">
        <w:rPr>
          <w:lang w:val="en-US"/>
        </w:rPr>
        <w:t xml:space="preserve"> patterns, themes, and practices in </w:t>
      </w:r>
      <w:r w:rsidR="00F258C0">
        <w:rPr>
          <w:lang w:val="en-US"/>
        </w:rPr>
        <w:t>PD</w:t>
      </w:r>
      <w:r w:rsidRPr="009B686A">
        <w:rPr>
          <w:lang w:val="en-US"/>
        </w:rPr>
        <w:t xml:space="preserve"> programs that support </w:t>
      </w:r>
      <w:r w:rsidR="00820A20">
        <w:rPr>
          <w:lang w:val="en-US"/>
        </w:rPr>
        <w:t>ET</w:t>
      </w:r>
      <w:r w:rsidRPr="009B686A">
        <w:rPr>
          <w:lang w:val="en-US"/>
        </w:rPr>
        <w:t xml:space="preserve"> integration by special educators.</w:t>
      </w:r>
    </w:p>
    <w:p w14:paraId="49509EF8" w14:textId="75B5332C" w:rsidR="00A9590C" w:rsidRDefault="00A9590C" w:rsidP="00A9590C">
      <w:pPr>
        <w:tabs>
          <w:tab w:val="left" w:pos="1440"/>
          <w:tab w:val="left" w:pos="2160"/>
          <w:tab w:val="left" w:pos="2880"/>
        </w:tabs>
        <w:spacing w:line="480" w:lineRule="auto"/>
        <w:ind w:firstLine="720"/>
      </w:pPr>
      <w:r>
        <w:t xml:space="preserve">Additionally, </w:t>
      </w:r>
      <w:r w:rsidR="00DA0433">
        <w:t>ET</w:t>
      </w:r>
      <w:r>
        <w:t xml:space="preserve"> holds </w:t>
      </w:r>
      <w:r w:rsidR="005A5F0A">
        <w:t>promise</w:t>
      </w:r>
      <w:r>
        <w:t xml:space="preserve"> for supporting </w:t>
      </w:r>
      <w:r w:rsidR="00167F63">
        <w:t>SWD</w:t>
      </w:r>
      <w:r>
        <w:t xml:space="preserve">, offering tools that personalize instruction, enhance accessibility, and support communication and independence. Yet, special education teachers often report limited access to targeted, relevant PD that supports their ability to integrate such tools effectively. These challenges may require different or more specialized forms of professional learning related to technology. </w:t>
      </w:r>
    </w:p>
    <w:p w14:paraId="34EF6211" w14:textId="27E0F762" w:rsidR="00A9590C" w:rsidRDefault="00A9590C" w:rsidP="00A9590C">
      <w:pPr>
        <w:tabs>
          <w:tab w:val="left" w:pos="1440"/>
          <w:tab w:val="left" w:pos="2160"/>
          <w:tab w:val="left" w:pos="2880"/>
        </w:tabs>
        <w:spacing w:line="480" w:lineRule="auto"/>
        <w:ind w:firstLine="720"/>
      </w:pPr>
      <w:r w:rsidRPr="009B686A">
        <w:rPr>
          <w:lang w:val="en-US"/>
        </w:rPr>
        <w:t xml:space="preserve">Thus, this narrative review aims to systematically describe and synthesize existing literature on </w:t>
      </w:r>
      <w:r w:rsidR="00531DA9">
        <w:rPr>
          <w:lang w:val="en-US"/>
        </w:rPr>
        <w:t>PD</w:t>
      </w:r>
      <w:r w:rsidRPr="009B686A">
        <w:rPr>
          <w:lang w:val="en-US"/>
        </w:rPr>
        <w:t xml:space="preserve"> interventions to enhance special education teachers' integration of educational technology in K-12 classrooms. Specifically, we will focus on </w:t>
      </w:r>
      <w:r w:rsidR="005A5F0A" w:rsidRPr="009B686A">
        <w:rPr>
          <w:lang w:val="en-US"/>
        </w:rPr>
        <w:t>naming</w:t>
      </w:r>
      <w:r w:rsidRPr="009B686A">
        <w:rPr>
          <w:lang w:val="en-US"/>
        </w:rPr>
        <w:t xml:space="preserve"> research-backed PD </w:t>
      </w:r>
      <w:r w:rsidRPr="009B686A">
        <w:rPr>
          <w:lang w:val="en-US"/>
        </w:rPr>
        <w:lastRenderedPageBreak/>
        <w:t xml:space="preserve">elements, PD delivery systems, and the types of ET most </w:t>
      </w:r>
      <w:r w:rsidR="00DA0433" w:rsidRPr="009B686A">
        <w:rPr>
          <w:lang w:val="en-US"/>
        </w:rPr>
        <w:t>often</w:t>
      </w:r>
      <w:r w:rsidRPr="009B686A">
        <w:rPr>
          <w:lang w:val="en-US"/>
        </w:rPr>
        <w:t xml:space="preserve"> targeted in PD for use in special education settings. </w:t>
      </w:r>
      <w:r w:rsidR="00DA0433">
        <w:rPr>
          <w:lang w:val="en-US"/>
        </w:rPr>
        <w:t xml:space="preserve">We build </w:t>
      </w:r>
      <w:r w:rsidRPr="009B686A">
        <w:rPr>
          <w:lang w:val="en-US"/>
        </w:rPr>
        <w:t xml:space="preserve">upon the broader PD literature while focusing on the structures, supports, and strategies that foster meaningful, sustainable teacher technology use to support </w:t>
      </w:r>
      <w:r w:rsidR="00167F63">
        <w:rPr>
          <w:lang w:val="en-US"/>
        </w:rPr>
        <w:t>SWD</w:t>
      </w:r>
      <w:r w:rsidRPr="009B686A">
        <w:rPr>
          <w:lang w:val="en-US"/>
        </w:rPr>
        <w:t>.</w:t>
      </w:r>
    </w:p>
    <w:p w14:paraId="5E91F513" w14:textId="77777777" w:rsidR="00A9590C" w:rsidRDefault="00A9590C" w:rsidP="00572B2E">
      <w:pPr>
        <w:pStyle w:val="Heading2"/>
      </w:pPr>
      <w:r>
        <w:t>Research Questions</w:t>
      </w:r>
    </w:p>
    <w:p w14:paraId="2073BE02" w14:textId="77777777" w:rsidR="00A9590C" w:rsidRDefault="00A9590C" w:rsidP="00A9590C">
      <w:pPr>
        <w:tabs>
          <w:tab w:val="left" w:pos="1440"/>
          <w:tab w:val="left" w:pos="2160"/>
          <w:tab w:val="left" w:pos="2880"/>
        </w:tabs>
        <w:spacing w:line="480" w:lineRule="auto"/>
        <w:ind w:firstLine="720"/>
      </w:pPr>
      <w:r>
        <w:t>Four specific questions guide this review:</w:t>
      </w:r>
    </w:p>
    <w:p w14:paraId="134D1FFB" w14:textId="53BACF03" w:rsidR="00A9590C" w:rsidRDefault="00A9590C" w:rsidP="00A9590C">
      <w:pPr>
        <w:numPr>
          <w:ilvl w:val="0"/>
          <w:numId w:val="21"/>
        </w:numPr>
        <w:tabs>
          <w:tab w:val="left" w:pos="20"/>
          <w:tab w:val="left" w:pos="360"/>
          <w:tab w:val="left" w:pos="700"/>
          <w:tab w:val="left" w:pos="1040"/>
          <w:tab w:val="left" w:pos="1380"/>
          <w:tab w:val="left" w:pos="1720"/>
          <w:tab w:val="left" w:pos="2060"/>
          <w:tab w:val="left" w:pos="2400"/>
          <w:tab w:val="left" w:pos="2740"/>
          <w:tab w:val="left" w:pos="3080"/>
        </w:tabs>
        <w:spacing w:line="480" w:lineRule="auto"/>
      </w:pPr>
      <w:bookmarkStart w:id="5" w:name="_Hlk198838267"/>
      <w:r>
        <w:t>What participant characteristics are reported</w:t>
      </w:r>
      <w:r w:rsidR="00EC20E1">
        <w:t xml:space="preserve"> by authors</w:t>
      </w:r>
      <w:r>
        <w:t xml:space="preserve"> in studies examining </w:t>
      </w:r>
      <w:r w:rsidR="00EC20E1">
        <w:t>PD</w:t>
      </w:r>
      <w:r>
        <w:t xml:space="preserve"> </w:t>
      </w:r>
      <w:r w:rsidR="003666C8">
        <w:t xml:space="preserve">about ET </w:t>
      </w:r>
      <w:r>
        <w:t>for</w:t>
      </w:r>
      <w:r w:rsidR="003666C8">
        <w:t xml:space="preserve"> special educators?</w:t>
      </w:r>
    </w:p>
    <w:bookmarkEnd w:id="5"/>
    <w:p w14:paraId="10D09E14" w14:textId="37ABB15C" w:rsidR="00A9590C" w:rsidRDefault="00A9590C" w:rsidP="00A9590C">
      <w:pPr>
        <w:numPr>
          <w:ilvl w:val="0"/>
          <w:numId w:val="21"/>
        </w:numPr>
        <w:tabs>
          <w:tab w:val="left" w:pos="20"/>
          <w:tab w:val="left" w:pos="360"/>
          <w:tab w:val="left" w:pos="700"/>
          <w:tab w:val="left" w:pos="1040"/>
          <w:tab w:val="left" w:pos="1380"/>
          <w:tab w:val="left" w:pos="1720"/>
          <w:tab w:val="left" w:pos="2060"/>
          <w:tab w:val="left" w:pos="2400"/>
          <w:tab w:val="left" w:pos="2740"/>
          <w:tab w:val="left" w:pos="3080"/>
        </w:tabs>
        <w:spacing w:line="480" w:lineRule="auto"/>
      </w:pPr>
      <w:r>
        <w:t xml:space="preserve">In what setting and delivery contexts is </w:t>
      </w:r>
      <w:bookmarkStart w:id="6" w:name="_Hlk198692278"/>
      <w:r w:rsidR="00DA64A7">
        <w:t>PD about ET</w:t>
      </w:r>
      <w:r>
        <w:t xml:space="preserve"> </w:t>
      </w:r>
      <w:bookmarkEnd w:id="6"/>
      <w:r>
        <w:t>delivered to special education teachers?</w:t>
      </w:r>
    </w:p>
    <w:p w14:paraId="2E4D1A17" w14:textId="7B1EDFE0" w:rsidR="00A9590C" w:rsidRDefault="00A9590C" w:rsidP="00A9590C">
      <w:pPr>
        <w:numPr>
          <w:ilvl w:val="0"/>
          <w:numId w:val="21"/>
        </w:numPr>
        <w:tabs>
          <w:tab w:val="left" w:pos="20"/>
          <w:tab w:val="left" w:pos="360"/>
          <w:tab w:val="left" w:pos="700"/>
          <w:tab w:val="left" w:pos="1040"/>
          <w:tab w:val="left" w:pos="1380"/>
          <w:tab w:val="left" w:pos="1720"/>
          <w:tab w:val="left" w:pos="2060"/>
          <w:tab w:val="left" w:pos="2400"/>
          <w:tab w:val="left" w:pos="2740"/>
          <w:tab w:val="left" w:pos="3080"/>
        </w:tabs>
        <w:spacing w:line="480" w:lineRule="auto"/>
      </w:pPr>
      <w:r>
        <w:t xml:space="preserve">What </w:t>
      </w:r>
      <w:r w:rsidR="00DA64A7">
        <w:t xml:space="preserve">formats and components </w:t>
      </w:r>
      <w:r>
        <w:t xml:space="preserve">are </w:t>
      </w:r>
      <w:r w:rsidR="00BF3BF6">
        <w:t>used</w:t>
      </w:r>
      <w:r w:rsidR="00DA64A7">
        <w:t xml:space="preserve"> in PD about ET with special education teachers</w:t>
      </w:r>
      <w:r w:rsidR="00BF3BF6">
        <w:t>?</w:t>
      </w:r>
    </w:p>
    <w:p w14:paraId="5EEEC05E" w14:textId="41FE0A38" w:rsidR="00A9590C" w:rsidRDefault="00A9590C" w:rsidP="00A9590C">
      <w:pPr>
        <w:numPr>
          <w:ilvl w:val="0"/>
          <w:numId w:val="21"/>
        </w:numPr>
        <w:tabs>
          <w:tab w:val="left" w:pos="20"/>
          <w:tab w:val="left" w:pos="360"/>
          <w:tab w:val="left" w:pos="700"/>
          <w:tab w:val="left" w:pos="1040"/>
          <w:tab w:val="left" w:pos="1380"/>
          <w:tab w:val="left" w:pos="1720"/>
          <w:tab w:val="left" w:pos="2060"/>
          <w:tab w:val="left" w:pos="2400"/>
          <w:tab w:val="left" w:pos="2740"/>
          <w:tab w:val="left" w:pos="3080"/>
        </w:tabs>
        <w:spacing w:line="480" w:lineRule="auto"/>
      </w:pPr>
      <w:r>
        <w:t xml:space="preserve">What </w:t>
      </w:r>
      <w:r w:rsidR="00DA64A7">
        <w:t xml:space="preserve">specific </w:t>
      </w:r>
      <w:r>
        <w:t>technologies are included in professional development programs</w:t>
      </w:r>
      <w:r w:rsidR="00BF3BF6">
        <w:t>?</w:t>
      </w:r>
    </w:p>
    <w:p w14:paraId="522A0632" w14:textId="7271F1DC" w:rsidR="001A171A" w:rsidRPr="001A171A" w:rsidRDefault="00A9590C" w:rsidP="00E14806">
      <w:pPr>
        <w:tabs>
          <w:tab w:val="left" w:pos="1440"/>
          <w:tab w:val="left" w:pos="2160"/>
          <w:tab w:val="left" w:pos="2880"/>
        </w:tabs>
        <w:spacing w:line="480" w:lineRule="auto"/>
        <w:ind w:firstLine="720"/>
      </w:pPr>
      <w:r w:rsidRPr="009B686A">
        <w:rPr>
          <w:lang w:val="en-US"/>
        </w:rPr>
        <w:t xml:space="preserve">These research questions are intended to provide a comprehensive synthesis of existing literature, identifying gaps in understanding and opportunities for further study within the </w:t>
      </w:r>
      <w:r w:rsidR="00575812">
        <w:rPr>
          <w:lang w:val="en-US"/>
        </w:rPr>
        <w:t>PD</w:t>
      </w:r>
      <w:r w:rsidRPr="009B686A">
        <w:rPr>
          <w:lang w:val="en-US"/>
        </w:rPr>
        <w:t xml:space="preserve"> literature specific to improving in-service special-educator technology integration.</w:t>
      </w:r>
    </w:p>
    <w:p w14:paraId="1785E0CB" w14:textId="7FF72F7D" w:rsidR="001A171A" w:rsidRPr="001A171A" w:rsidRDefault="00AB5A5B" w:rsidP="00A16ACD">
      <w:pPr>
        <w:pStyle w:val="Heading1"/>
      </w:pPr>
      <w:r w:rsidRPr="00F14B34">
        <w:t>Method</w:t>
      </w:r>
    </w:p>
    <w:p w14:paraId="53401EEA" w14:textId="77777777" w:rsidR="00AB5A5B" w:rsidRPr="00F14B34" w:rsidRDefault="00AB5A5B" w:rsidP="00572B2E">
      <w:pPr>
        <w:pStyle w:val="Heading2"/>
      </w:pPr>
      <w:r w:rsidRPr="00F14B34">
        <w:t>Search Procedure</w:t>
      </w:r>
    </w:p>
    <w:p w14:paraId="5DEECB87" w14:textId="45DAF525" w:rsidR="00AB5A5B" w:rsidRPr="00F14B34" w:rsidRDefault="00AB5A5B" w:rsidP="00E0546B">
      <w:pPr>
        <w:spacing w:line="480" w:lineRule="auto"/>
        <w:ind w:firstLine="720"/>
      </w:pPr>
      <w:r w:rsidRPr="00F14B34">
        <w:t xml:space="preserve">We conducted </w:t>
      </w:r>
      <w:r w:rsidR="00121405" w:rsidRPr="00F14B34">
        <w:t>an electronic search on October 3, 2024</w:t>
      </w:r>
      <w:r w:rsidR="006F5806" w:rsidRPr="00F14B34">
        <w:t>,</w:t>
      </w:r>
      <w:r w:rsidR="00121405" w:rsidRPr="00F14B34">
        <w:t xml:space="preserve"> using the databases:</w:t>
      </w:r>
      <w:r w:rsidRPr="00F14B34">
        <w:t xml:space="preserve"> APA </w:t>
      </w:r>
      <w:r w:rsidR="00AD51A3" w:rsidRPr="00F14B34">
        <w:t>PsycINFO</w:t>
      </w:r>
      <w:r w:rsidR="00F1415A">
        <w:t xml:space="preserve"> (ProQuest)</w:t>
      </w:r>
      <w:r w:rsidRPr="00F14B34">
        <w:t>, ERIC</w:t>
      </w:r>
      <w:r w:rsidR="00F1415A">
        <w:t xml:space="preserve"> (ProQuest)</w:t>
      </w:r>
      <w:r w:rsidRPr="00F14B34">
        <w:t xml:space="preserve">, and </w:t>
      </w:r>
      <w:r w:rsidR="00121405" w:rsidRPr="00F14B34">
        <w:t xml:space="preserve">ProQuest </w:t>
      </w:r>
      <w:r w:rsidRPr="00F14B34">
        <w:t xml:space="preserve">Dissertations &amp; Theses. </w:t>
      </w:r>
      <w:r w:rsidR="00602121">
        <w:t>Our</w:t>
      </w:r>
      <w:r w:rsidR="00602121" w:rsidRPr="00F14B34">
        <w:t xml:space="preserve"> </w:t>
      </w:r>
      <w:r w:rsidR="00121405" w:rsidRPr="00F14B34">
        <w:t>systematic</w:t>
      </w:r>
      <w:r w:rsidRPr="00F14B34">
        <w:t xml:space="preserve"> search followed the Preferred Reporting Items for Systematic Reviews and Meta-Analyses </w:t>
      </w:r>
      <w:r w:rsidR="009A1A3E">
        <w:fldChar w:fldCharType="begin"/>
      </w:r>
      <w:r w:rsidR="00341093">
        <w:instrText xml:space="preserve"> ADDIN ZOTERO_ITEM CSL_CITATION {"citationID":"GJgqWkRW","properties":{"formattedCitation":"(PRISMA; Page et al., 2021)","plainCitation":"(PRISMA; Page et al., 2021)","noteIndex":0},"citationItems":[{"id":791,"uris":["http://zotero.org/users/15409160/items/DJ8ZM98D"],"itemData":{"id":791,"type":"article-journal","container-title":"PLOS Medicine","DOI":"10.1371/journal.pmed.1003583","ISSN":"1549-1676","issue":"3","journalAbbreviation":"PLoS Med","language":"en","note":"TLDR: PRISMA 2020, an updated reporting guideline for systematic reviews and meta-analyses, is described, which aims to provide an updated standard for evaluating the quality of systematic reviews in the literature.","page":"e1003583","source":"DOI.org (Crossref)","title":"The PRISMA 2020 statement: An updated guideline for reporting systematic reviews","title-short":"The PRISMA 2020 statement","URL":"https://dx.plos.org/10.1371/journal.pmed.1003583","volume":"18","author":[{"family":"Page","given":"Matthew J."},{"family":"McKenzie","given":"Joanne E."},{"family":"Bossuyt","given":"Patrick M."},{"family":"Boutron","given":"Isabelle"},{"family":"Hoffmann","given":"Tammy C."},{"family":"Mulrow","given":"Cynthia D."},{"family":"Shamseer","given":"Larissa"},{"family":"Tetzlaff","given":"Jennifer M."},{"family":"Akl","given":"Elie A."},{"family":"Brennan","given":"Sue E."},{"family":"Chou","given":"Roger"},{"family":"Glanville","given":"Julie"},{"family":"Grimshaw","given":"Jeremy M."},{"family":"Hróbjartsson","given":"Asbjørn"},{"family":"Lalu","given":"Manoj M."},{"family":"Li","given":"Tianjing"},{"family":"Loder","given":"Elizabeth W."},{"family":"Mayo-Wilson","given":"Evan"},{"family":"McDonald","given":"Steve"},{"family":"McGuinness","given":"Luke A."},{"family":"Stewart","given":"Lesley A."},{"family":"Thomas","given":"James"},{"family":"Tricco","given":"Andrea C."},{"family":"Welch","given":"Vivian A."},{"family":"Whiting","given":"Penny"},{"family":"Moher","given":"David"}],"accessed":{"date-parts":[["2024",10,18]]},"issued":{"date-parts":[["2021",3,29]]},"citation-key":"pagePRISMA2020Statement2021"},"prefix":"PRISMA;"}],"schema":"https://github.com/citation-style-language/schema/raw/master/csl-citation.json"} </w:instrText>
      </w:r>
      <w:r w:rsidR="009A1A3E">
        <w:fldChar w:fldCharType="separate"/>
      </w:r>
      <w:r w:rsidR="00341093">
        <w:rPr>
          <w:noProof/>
        </w:rPr>
        <w:t>(PRISMA; Page et al., 2021)</w:t>
      </w:r>
      <w:r w:rsidR="009A1A3E">
        <w:fldChar w:fldCharType="end"/>
      </w:r>
      <w:r w:rsidRPr="00F14B34">
        <w:t xml:space="preserve">, and </w:t>
      </w:r>
      <w:r w:rsidR="00692790">
        <w:t xml:space="preserve">we have illustrated </w:t>
      </w:r>
      <w:r w:rsidRPr="00F14B34">
        <w:t>the entire process in the PRISMA diagram</w:t>
      </w:r>
      <w:r w:rsidR="00692790">
        <w:t xml:space="preserve"> shown in </w:t>
      </w:r>
      <w:r w:rsidRPr="00725711">
        <w:rPr>
          <w:i/>
          <w:iCs/>
        </w:rPr>
        <w:t>Figure 1</w:t>
      </w:r>
      <w:r w:rsidRPr="00F14B34">
        <w:t xml:space="preserve">. </w:t>
      </w:r>
    </w:p>
    <w:p w14:paraId="2D02CFB0" w14:textId="5ACF921A" w:rsidR="00AB5A5B" w:rsidRPr="00F14B34" w:rsidRDefault="00161985" w:rsidP="00E0546B">
      <w:pPr>
        <w:spacing w:line="480" w:lineRule="auto"/>
        <w:ind w:firstLine="720"/>
      </w:pPr>
      <w:r w:rsidRPr="009B686A">
        <w:rPr>
          <w:lang w:val="en-US"/>
        </w:rPr>
        <w:t>We constructed s</w:t>
      </w:r>
      <w:r w:rsidR="00AB5A5B" w:rsidRPr="009B686A">
        <w:rPr>
          <w:lang w:val="en-US"/>
        </w:rPr>
        <w:t xml:space="preserve">earch terms using Boolean logic and focused on identifying studies involving in-service special education teachers and </w:t>
      </w:r>
      <w:r w:rsidR="00575812">
        <w:rPr>
          <w:lang w:val="en-US"/>
        </w:rPr>
        <w:t>PD</w:t>
      </w:r>
      <w:r w:rsidR="00AB5A5B" w:rsidRPr="009B686A">
        <w:rPr>
          <w:lang w:val="en-US"/>
        </w:rPr>
        <w:t xml:space="preserve"> on technology integration. The </w:t>
      </w:r>
      <w:r w:rsidR="00121405" w:rsidRPr="009B686A">
        <w:rPr>
          <w:lang w:val="en-US"/>
        </w:rPr>
        <w:t xml:space="preserve">search </w:t>
      </w:r>
      <w:r w:rsidR="00121405" w:rsidRPr="009B686A">
        <w:rPr>
          <w:lang w:val="en-US"/>
        </w:rPr>
        <w:lastRenderedPageBreak/>
        <w:t xml:space="preserve">string was as follows: </w:t>
      </w:r>
      <w:bookmarkStart w:id="7" w:name="_Hlk198713559"/>
      <w:r w:rsidR="00121405" w:rsidRPr="009B686A">
        <w:rPr>
          <w:i/>
          <w:iCs/>
          <w:lang w:val="en-US"/>
        </w:rPr>
        <w:t>(</w:t>
      </w:r>
      <w:r w:rsidR="00AB5A5B" w:rsidRPr="009B686A">
        <w:rPr>
          <w:i/>
          <w:iCs/>
          <w:lang w:val="en-US"/>
        </w:rPr>
        <w:t>noft</w:t>
      </w:r>
      <w:r w:rsidR="00F5385C">
        <w:rPr>
          <w:i/>
          <w:iCs/>
          <w:lang w:val="en-US"/>
        </w:rPr>
        <w:t>(</w:t>
      </w:r>
      <w:r w:rsidR="00AB5A5B" w:rsidRPr="009B686A">
        <w:rPr>
          <w:i/>
          <w:iCs/>
          <w:lang w:val="en-US"/>
        </w:rPr>
        <w:t>"special educat*" OR "special education teacher"</w:t>
      </w:r>
      <w:r w:rsidR="00F5385C">
        <w:rPr>
          <w:i/>
          <w:iCs/>
          <w:lang w:val="en-US"/>
        </w:rPr>
        <w:t>)</w:t>
      </w:r>
      <w:r w:rsidR="00AB5A5B" w:rsidRPr="009B686A">
        <w:rPr>
          <w:i/>
          <w:iCs/>
          <w:lang w:val="en-US"/>
        </w:rPr>
        <w:t xml:space="preserve"> AND noft</w:t>
      </w:r>
      <w:r w:rsidR="00F5385C">
        <w:rPr>
          <w:i/>
          <w:iCs/>
          <w:lang w:val="en-US"/>
        </w:rPr>
        <w:t>(</w:t>
      </w:r>
      <w:r w:rsidR="00AB5A5B" w:rsidRPr="009B686A">
        <w:rPr>
          <w:i/>
          <w:iCs/>
          <w:lang w:val="en-US"/>
        </w:rPr>
        <w:t>"education* technolog*" OR "assistive technolog*" OR "digital technolog*"</w:t>
      </w:r>
      <w:r w:rsidR="00F5385C">
        <w:rPr>
          <w:i/>
          <w:iCs/>
          <w:lang w:val="en-US"/>
        </w:rPr>
        <w:t>)</w:t>
      </w:r>
      <w:r w:rsidR="00AB5A5B" w:rsidRPr="009B686A">
        <w:rPr>
          <w:i/>
          <w:iCs/>
          <w:lang w:val="en-US"/>
        </w:rPr>
        <w:t xml:space="preserve"> AND noft</w:t>
      </w:r>
      <w:r w:rsidR="00121405" w:rsidRPr="009B686A">
        <w:rPr>
          <w:i/>
          <w:iCs/>
          <w:lang w:val="en-US"/>
        </w:rPr>
        <w:t xml:space="preserve"> </w:t>
      </w:r>
      <w:r w:rsidR="00F5385C">
        <w:rPr>
          <w:i/>
          <w:iCs/>
          <w:lang w:val="en-US"/>
        </w:rPr>
        <w:t>(</w:t>
      </w:r>
      <w:r w:rsidR="00AB5A5B" w:rsidRPr="009B686A">
        <w:rPr>
          <w:i/>
          <w:iCs/>
          <w:lang w:val="en-US"/>
        </w:rPr>
        <w:t>"professional development" OR "coaching" OR "professional learning communit*" OR "instructional coaching" OR "communit* of practice" OR "professional learning"</w:t>
      </w:r>
      <w:r w:rsidR="00F5385C">
        <w:rPr>
          <w:i/>
          <w:iCs/>
          <w:lang w:val="en-US"/>
        </w:rPr>
        <w:t>)</w:t>
      </w:r>
      <w:r w:rsidR="00AB5A5B" w:rsidRPr="009B686A">
        <w:rPr>
          <w:i/>
          <w:iCs/>
          <w:lang w:val="en-US"/>
        </w:rPr>
        <w:t>)</w:t>
      </w:r>
      <w:bookmarkEnd w:id="7"/>
      <w:r w:rsidR="00AB5A5B" w:rsidRPr="009B686A">
        <w:rPr>
          <w:i/>
          <w:iCs/>
          <w:lang w:val="en-US"/>
        </w:rPr>
        <w:t xml:space="preserve">. </w:t>
      </w:r>
      <w:r w:rsidRPr="009B686A">
        <w:rPr>
          <w:lang w:val="en-US"/>
        </w:rPr>
        <w:t xml:space="preserve">We limited our </w:t>
      </w:r>
      <w:r w:rsidR="00121405" w:rsidRPr="009B686A">
        <w:rPr>
          <w:lang w:val="en-US"/>
        </w:rPr>
        <w:t xml:space="preserve">search </w:t>
      </w:r>
      <w:r w:rsidR="00AB5A5B" w:rsidRPr="009B686A">
        <w:rPr>
          <w:lang w:val="en-US"/>
        </w:rPr>
        <w:t xml:space="preserve">to </w:t>
      </w:r>
      <w:r w:rsidR="00121405" w:rsidRPr="009B686A">
        <w:rPr>
          <w:lang w:val="en-US"/>
        </w:rPr>
        <w:t>records</w:t>
      </w:r>
      <w:r w:rsidR="00AB5A5B" w:rsidRPr="009B686A">
        <w:rPr>
          <w:lang w:val="en-US"/>
        </w:rPr>
        <w:t xml:space="preserve"> published in English since 1990</w:t>
      </w:r>
      <w:r w:rsidR="007B0473" w:rsidRPr="009B686A">
        <w:rPr>
          <w:lang w:val="en-US"/>
        </w:rPr>
        <w:t>, which we chose due</w:t>
      </w:r>
      <w:r w:rsidR="00AB5A5B" w:rsidRPr="009B686A">
        <w:rPr>
          <w:lang w:val="en-US"/>
        </w:rPr>
        <w:t xml:space="preserve"> to its significance in relation to special education law </w:t>
      </w:r>
      <w:r w:rsidR="00341093">
        <w:rPr>
          <w:lang w:val="en-US"/>
        </w:rPr>
        <w:fldChar w:fldCharType="begin"/>
      </w:r>
      <w:r w:rsidR="00CF7A94">
        <w:rPr>
          <w:lang w:val="en-US"/>
        </w:rPr>
        <w:instrText xml:space="preserve"> ADDIN ZOTERO_ITEM CSL_CITATION {"citationID":"VUb9FTZD","properties":{"formattedCitation":"(Individuals with Disabilities Education Improvement Act, 2004)","plainCitation":"(Individuals with Disabilities Education Improvement Act, 2004)","noteIndex":0},"citationItems":[{"id":17715,"uris":["http://zotero.org/users/15409160/items/PJHD8QSN"],"itemData":{"id":17715,"type":"legislation","language":"English","title":"Individuals with disabilities education improvement act of 2004","title-short":"Individuals with Disabilities Education Improvement Act","URL":"https://www.govinfo.gov/content/pkg/PLAW-108publ446/pdf/PLAW-108publ446.pdf","volume":"20 U.S.C. § 1400 et seq.","author":[{"literal":"U.S. Congress"}],"issued":{"date-parts":[["2004",12,3]]},"citation-key":"u.s.congressIndividualsDisabilitiesEducation2004"}}],"schema":"https://github.com/citation-style-language/schema/raw/master/csl-citation.json"} </w:instrText>
      </w:r>
      <w:r w:rsidR="00341093">
        <w:rPr>
          <w:lang w:val="en-US"/>
        </w:rPr>
        <w:fldChar w:fldCharType="separate"/>
      </w:r>
      <w:r w:rsidR="00065848">
        <w:rPr>
          <w:noProof/>
          <w:lang w:val="en-US"/>
        </w:rPr>
        <w:t>(Individuals with Disabilities Education Improvement Act, 2004)</w:t>
      </w:r>
      <w:r w:rsidR="00341093">
        <w:rPr>
          <w:lang w:val="en-US"/>
        </w:rPr>
        <w:fldChar w:fldCharType="end"/>
      </w:r>
      <w:r w:rsidR="00AB5A5B" w:rsidRPr="009B686A">
        <w:rPr>
          <w:lang w:val="en-US"/>
        </w:rPr>
        <w:t xml:space="preserve">. </w:t>
      </w:r>
      <w:r w:rsidR="007B0473" w:rsidRPr="009B686A">
        <w:rPr>
          <w:lang w:val="en-US"/>
        </w:rPr>
        <w:t>We considered g</w:t>
      </w:r>
      <w:r w:rsidR="00AB5A5B" w:rsidRPr="009B686A">
        <w:rPr>
          <w:lang w:val="en-US"/>
        </w:rPr>
        <w:t xml:space="preserve">rey literature in this search to minimize publication bias and include valuable research not available in peer-reviewed journals due to the small amount of published work found on this topic. </w:t>
      </w:r>
      <w:r w:rsidR="007B0473" w:rsidRPr="009B686A">
        <w:rPr>
          <w:lang w:val="en-US"/>
        </w:rPr>
        <w:t>We retrieved a</w:t>
      </w:r>
      <w:r w:rsidR="00AB5A5B" w:rsidRPr="009B686A">
        <w:rPr>
          <w:lang w:val="en-US"/>
        </w:rPr>
        <w:t xml:space="preserve"> total of </w:t>
      </w:r>
      <m:oMath>
        <m:r>
          <w:rPr>
            <w:rFonts w:ascii="Cambria Math" w:hAnsi="Cambria Math"/>
          </w:rPr>
          <m:t>377</m:t>
        </m:r>
      </m:oMath>
      <w:r w:rsidR="00AB5A5B" w:rsidRPr="009B686A">
        <w:rPr>
          <w:lang w:val="en-US"/>
        </w:rPr>
        <w:t xml:space="preserve"> records from </w:t>
      </w:r>
      <w:r w:rsidR="007B0473" w:rsidRPr="009B686A">
        <w:rPr>
          <w:lang w:val="en-US"/>
        </w:rPr>
        <w:t xml:space="preserve">our </w:t>
      </w:r>
      <w:r w:rsidR="00AB5A5B" w:rsidRPr="009B686A">
        <w:rPr>
          <w:lang w:val="en-US"/>
        </w:rPr>
        <w:t xml:space="preserve">database search </w:t>
      </w:r>
      <m:oMath>
        <m:r>
          <w:rPr>
            <w:rFonts w:ascii="Cambria Math" w:hAnsi="Cambria Math"/>
          </w:rPr>
          <m:t>(n=377)</m:t>
        </m:r>
      </m:oMath>
      <w:r w:rsidR="007B0473" w:rsidRPr="009B686A">
        <w:rPr>
          <w:lang w:val="en-US"/>
        </w:rPr>
        <w:t>.</w:t>
      </w:r>
    </w:p>
    <w:p w14:paraId="5FE65E04" w14:textId="09D2B579" w:rsidR="00AB5A5B" w:rsidRPr="00F14B34" w:rsidRDefault="00AB5A5B" w:rsidP="009B686A">
      <w:pPr>
        <w:spacing w:line="480" w:lineRule="auto"/>
        <w:ind w:firstLine="720"/>
        <w:rPr>
          <w:b/>
          <w:bCs/>
          <w:lang w:val="en-US"/>
        </w:rPr>
      </w:pPr>
      <w:r w:rsidRPr="009B686A">
        <w:rPr>
          <w:lang w:val="en-US"/>
        </w:rPr>
        <w:t xml:space="preserve">In addition to the database search, </w:t>
      </w:r>
      <w:r w:rsidR="007C145C" w:rsidRPr="009B686A">
        <w:rPr>
          <w:lang w:val="en-US"/>
        </w:rPr>
        <w:t>we conducted a</w:t>
      </w:r>
      <w:r w:rsidRPr="009B686A">
        <w:rPr>
          <w:lang w:val="en-US"/>
        </w:rPr>
        <w:t xml:space="preserve"> hand search</w:t>
      </w:r>
      <w:r w:rsidR="00121405" w:rsidRPr="009B686A">
        <w:rPr>
          <w:lang w:val="en-US"/>
        </w:rPr>
        <w:t xml:space="preserve"> </w:t>
      </w:r>
      <w:r w:rsidRPr="009B686A">
        <w:rPr>
          <w:lang w:val="en-US"/>
        </w:rPr>
        <w:t xml:space="preserve">to </w:t>
      </w:r>
      <w:r w:rsidR="008C59AB" w:rsidRPr="009B686A">
        <w:rPr>
          <w:lang w:val="en-US"/>
        </w:rPr>
        <w:t>find</w:t>
      </w:r>
      <w:r w:rsidRPr="009B686A">
        <w:rPr>
          <w:lang w:val="en-US"/>
        </w:rPr>
        <w:t xml:space="preserve"> </w:t>
      </w:r>
      <w:r w:rsidR="00121405" w:rsidRPr="009B686A">
        <w:rPr>
          <w:lang w:val="en-US"/>
        </w:rPr>
        <w:t xml:space="preserve">additional relevant </w:t>
      </w:r>
      <w:r w:rsidRPr="009B686A">
        <w:rPr>
          <w:lang w:val="en-US"/>
        </w:rPr>
        <w:t>articles</w:t>
      </w:r>
      <w:r w:rsidR="00121405" w:rsidRPr="009B686A">
        <w:rPr>
          <w:lang w:val="en-US"/>
        </w:rPr>
        <w:t xml:space="preserve"> in two special education technology journals: (</w:t>
      </w:r>
      <w:r w:rsidR="00DB5FD3" w:rsidRPr="009B686A">
        <w:rPr>
          <w:lang w:val="en-US"/>
        </w:rPr>
        <w:t>a</w:t>
      </w:r>
      <w:r w:rsidR="00121405" w:rsidRPr="009B686A">
        <w:rPr>
          <w:lang w:val="en-US"/>
        </w:rPr>
        <w:t xml:space="preserve">) </w:t>
      </w:r>
      <w:r w:rsidRPr="009B686A">
        <w:rPr>
          <w:lang w:val="en-US"/>
        </w:rPr>
        <w:t xml:space="preserve">the </w:t>
      </w:r>
      <w:r w:rsidRPr="009B686A">
        <w:rPr>
          <w:i/>
          <w:iCs/>
          <w:lang w:val="en-US"/>
        </w:rPr>
        <w:t xml:space="preserve">Journal of Technology and Teacher Education </w:t>
      </w:r>
      <w:r w:rsidRPr="009B686A">
        <w:rPr>
          <w:lang w:val="en-US"/>
        </w:rPr>
        <w:t xml:space="preserve">(JTATE) </w:t>
      </w:r>
      <w:r w:rsidR="00121405" w:rsidRPr="009B686A">
        <w:rPr>
          <w:lang w:val="en-US"/>
        </w:rPr>
        <w:t>and (</w:t>
      </w:r>
      <w:r w:rsidR="00DB5FD3" w:rsidRPr="009B686A">
        <w:rPr>
          <w:lang w:val="en-US"/>
        </w:rPr>
        <w:t>b</w:t>
      </w:r>
      <w:r w:rsidR="00121405" w:rsidRPr="009B686A">
        <w:rPr>
          <w:lang w:val="en-US"/>
        </w:rPr>
        <w:t xml:space="preserve">) the </w:t>
      </w:r>
      <w:r w:rsidR="00121405" w:rsidRPr="009B686A">
        <w:rPr>
          <w:i/>
          <w:iCs/>
          <w:lang w:val="en-US"/>
        </w:rPr>
        <w:t>Journal of Special Education Technology</w:t>
      </w:r>
      <w:r w:rsidR="00121405" w:rsidRPr="009B686A">
        <w:rPr>
          <w:lang w:val="en-US"/>
        </w:rPr>
        <w:t xml:space="preserve"> (JSET). </w:t>
      </w:r>
      <w:r w:rsidR="00854821" w:rsidRPr="009B686A">
        <w:rPr>
          <w:lang w:val="en-US"/>
        </w:rPr>
        <w:t>We screened a</w:t>
      </w:r>
      <w:r w:rsidR="00121405" w:rsidRPr="009B686A">
        <w:rPr>
          <w:lang w:val="en-US"/>
        </w:rPr>
        <w:t xml:space="preserve">ll records published in JTATE up to </w:t>
      </w:r>
      <w:r w:rsidRPr="009B686A">
        <w:rPr>
          <w:lang w:val="en-US"/>
        </w:rPr>
        <w:t>October 3</w:t>
      </w:r>
      <w:r w:rsidR="00854821" w:rsidRPr="009B686A">
        <w:rPr>
          <w:lang w:val="en-US"/>
        </w:rPr>
        <w:t>, 2024</w:t>
      </w:r>
      <w:r w:rsidRPr="009B686A">
        <w:rPr>
          <w:lang w:val="en-US"/>
        </w:rPr>
        <w:t xml:space="preserve"> </w:t>
      </w:r>
      <m:oMath>
        <m:r>
          <w:rPr>
            <w:rFonts w:ascii="Cambria Math" w:hAnsi="Cambria Math"/>
          </w:rPr>
          <m:t>(n=632)</m:t>
        </m:r>
      </m:oMath>
      <w:r w:rsidR="00121405" w:rsidRPr="009B686A">
        <w:rPr>
          <w:lang w:val="en-US"/>
        </w:rPr>
        <w:t xml:space="preserve">. </w:t>
      </w:r>
      <w:r w:rsidR="00854821" w:rsidRPr="009B686A">
        <w:rPr>
          <w:lang w:val="en-US"/>
        </w:rPr>
        <w:t>We screened a</w:t>
      </w:r>
      <w:r w:rsidR="00121405" w:rsidRPr="009B686A">
        <w:rPr>
          <w:lang w:val="en-US"/>
        </w:rPr>
        <w:t xml:space="preserve">ll JSET records published between </w:t>
      </w:r>
      <w:r w:rsidRPr="009B686A">
        <w:rPr>
          <w:lang w:val="en-US"/>
        </w:rPr>
        <w:t xml:space="preserve">1990 </w:t>
      </w:r>
      <w:r w:rsidR="00121405" w:rsidRPr="009B686A">
        <w:rPr>
          <w:lang w:val="en-US"/>
        </w:rPr>
        <w:t xml:space="preserve">and </w:t>
      </w:r>
      <w:r w:rsidRPr="009B686A">
        <w:rPr>
          <w:lang w:val="en-US"/>
        </w:rPr>
        <w:t xml:space="preserve">October 3, 2024 </w:t>
      </w:r>
      <m:oMath>
        <m:r>
          <w:rPr>
            <w:rFonts w:ascii="Cambria Math" w:hAnsi="Cambria Math"/>
          </w:rPr>
          <m:t>(n=835)</m:t>
        </m:r>
      </m:oMath>
      <w:r w:rsidRPr="009B686A">
        <w:rPr>
          <w:lang w:val="en-US"/>
        </w:rPr>
        <w:t>.</w:t>
      </w:r>
    </w:p>
    <w:p w14:paraId="23B19972" w14:textId="77777777" w:rsidR="00AB5A5B" w:rsidRPr="00F14B34" w:rsidRDefault="00AB5A5B" w:rsidP="00572B2E">
      <w:pPr>
        <w:pStyle w:val="Heading2"/>
      </w:pPr>
      <w:r w:rsidRPr="00F14B34">
        <w:t xml:space="preserve">Inclusion and Exclusion Criteria </w:t>
      </w:r>
    </w:p>
    <w:p w14:paraId="759BBE19" w14:textId="1B05A620" w:rsidR="00F50566" w:rsidRPr="00F14B34" w:rsidRDefault="00854821" w:rsidP="00E0546B">
      <w:pPr>
        <w:spacing w:line="480" w:lineRule="auto"/>
        <w:ind w:firstLine="720"/>
      </w:pPr>
      <w:r>
        <w:t>We applied e</w:t>
      </w:r>
      <w:r w:rsidR="00121405" w:rsidRPr="00F14B34">
        <w:t xml:space="preserve">xclusion and inclusion criteria to all records during the screening process in the order listed below. </w:t>
      </w:r>
      <w:r w:rsidR="00AB5A5B" w:rsidRPr="00F14B34">
        <w:t xml:space="preserve">Exclusion criteria </w:t>
      </w:r>
      <w:r w:rsidR="00121C50" w:rsidRPr="00F14B34">
        <w:t xml:space="preserve">were as follows: </w:t>
      </w:r>
      <w:r w:rsidR="00AB5A5B" w:rsidRPr="00F14B34">
        <w:t>(</w:t>
      </w:r>
      <w:r w:rsidR="00DB5FD3">
        <w:t>a</w:t>
      </w:r>
      <w:r w:rsidR="00AB5A5B" w:rsidRPr="00F14B34">
        <w:t>) articles written in non-English languages, (</w:t>
      </w:r>
      <w:r w:rsidR="00DB5FD3">
        <w:t>b</w:t>
      </w:r>
      <w:r w:rsidR="00AB5A5B" w:rsidRPr="00F14B34">
        <w:t>) published before 1990, (</w:t>
      </w:r>
      <w:r w:rsidR="00DB5FD3">
        <w:t>c</w:t>
      </w:r>
      <w:r w:rsidR="00AB5A5B" w:rsidRPr="00F14B34">
        <w:t>) literature reviews and meta-analyses, (</w:t>
      </w:r>
      <w:r w:rsidR="00DB5FD3">
        <w:t>d</w:t>
      </w:r>
      <w:r w:rsidR="00AB5A5B" w:rsidRPr="00F14B34">
        <w:t>) practitioner papers focused solely on using a piece of technology, (</w:t>
      </w:r>
      <w:r w:rsidR="00DB5FD3">
        <w:t>e</w:t>
      </w:r>
      <w:r w:rsidR="00AB5A5B" w:rsidRPr="00F14B34">
        <w:t>) studies involving pre-service teachers that could not be separated from in-service teacher participants, and (</w:t>
      </w:r>
      <w:r w:rsidR="00DB5FD3">
        <w:t>f</w:t>
      </w:r>
      <w:r w:rsidR="00AB5A5B" w:rsidRPr="00F14B34">
        <w:t xml:space="preserve">) </w:t>
      </w:r>
      <w:r w:rsidR="00121C50" w:rsidRPr="00F14B34">
        <w:t>s</w:t>
      </w:r>
      <w:r w:rsidR="00AB5A5B" w:rsidRPr="00F14B34">
        <w:t xml:space="preserve">tudies involving </w:t>
      </w:r>
      <w:r w:rsidR="00750268">
        <w:t>Augmentative and Alternative Communication devices</w:t>
      </w:r>
      <w:r w:rsidR="00AB5A5B" w:rsidRPr="00F14B34">
        <w:t xml:space="preserve">, adaptive input, or switch devices as primary interventions as these technologies were considered beyond the scope of this review. </w:t>
      </w:r>
    </w:p>
    <w:p w14:paraId="5829C187" w14:textId="77777777" w:rsidR="003F65F5" w:rsidRDefault="00AB5A5B" w:rsidP="009B686A">
      <w:pPr>
        <w:spacing w:line="480" w:lineRule="auto"/>
        <w:ind w:firstLine="720"/>
        <w:rPr>
          <w:lang w:val="en-US"/>
        </w:rPr>
      </w:pPr>
      <w:r w:rsidRPr="009B686A">
        <w:rPr>
          <w:lang w:val="en-US"/>
        </w:rPr>
        <w:lastRenderedPageBreak/>
        <w:t xml:space="preserve">Inclusion criteria </w:t>
      </w:r>
      <w:r w:rsidR="00121C50" w:rsidRPr="009B686A">
        <w:rPr>
          <w:lang w:val="en-US"/>
        </w:rPr>
        <w:t>were as follows. First,</w:t>
      </w:r>
      <w:r w:rsidRPr="009B686A">
        <w:rPr>
          <w:lang w:val="en-US"/>
        </w:rPr>
        <w:t xml:space="preserve"> </w:t>
      </w:r>
      <w:r w:rsidR="00121C50" w:rsidRPr="009B686A">
        <w:rPr>
          <w:lang w:val="en-US"/>
        </w:rPr>
        <w:t>p</w:t>
      </w:r>
      <w:r w:rsidRPr="009B686A">
        <w:rPr>
          <w:lang w:val="en-US"/>
        </w:rPr>
        <w:t xml:space="preserve">articipants </w:t>
      </w:r>
      <w:r w:rsidR="00121C50" w:rsidRPr="009B686A">
        <w:rPr>
          <w:lang w:val="en-US"/>
        </w:rPr>
        <w:t xml:space="preserve">had </w:t>
      </w:r>
      <w:r w:rsidRPr="009B686A">
        <w:rPr>
          <w:lang w:val="en-US"/>
        </w:rPr>
        <w:t>to be special education teachers who work</w:t>
      </w:r>
      <w:r w:rsidR="00121C50" w:rsidRPr="009B686A">
        <w:rPr>
          <w:lang w:val="en-US"/>
        </w:rPr>
        <w:t>ed</w:t>
      </w:r>
      <w:r w:rsidRPr="009B686A">
        <w:rPr>
          <w:lang w:val="en-US"/>
        </w:rPr>
        <w:t xml:space="preserve"> in K-12 classrooms</w:t>
      </w:r>
      <w:r w:rsidR="00C9624D" w:rsidRPr="009B686A">
        <w:rPr>
          <w:lang w:val="en-US"/>
        </w:rPr>
        <w:t>,</w:t>
      </w:r>
      <w:r w:rsidRPr="009B686A">
        <w:rPr>
          <w:lang w:val="en-US"/>
        </w:rPr>
        <w:t xml:space="preserve"> as reported by </w:t>
      </w:r>
      <w:r w:rsidR="00DB5FD3" w:rsidRPr="009B686A">
        <w:rPr>
          <w:lang w:val="en-US"/>
        </w:rPr>
        <w:t xml:space="preserve">the </w:t>
      </w:r>
      <w:r w:rsidRPr="009B686A">
        <w:rPr>
          <w:lang w:val="en-US"/>
        </w:rPr>
        <w:t>study authors. Special education teachers include</w:t>
      </w:r>
      <w:r w:rsidR="00121C50" w:rsidRPr="009B686A">
        <w:rPr>
          <w:lang w:val="en-US"/>
        </w:rPr>
        <w:t>d</w:t>
      </w:r>
      <w:r w:rsidRPr="009B686A">
        <w:rPr>
          <w:lang w:val="en-US"/>
        </w:rPr>
        <w:t xml:space="preserve"> author-reported teachers or educators who </w:t>
      </w:r>
      <w:r w:rsidR="00121C50" w:rsidRPr="009B686A">
        <w:rPr>
          <w:lang w:val="en-US"/>
        </w:rPr>
        <w:t xml:space="preserve">were </w:t>
      </w:r>
      <w:r w:rsidRPr="009B686A">
        <w:rPr>
          <w:lang w:val="en-US"/>
        </w:rPr>
        <w:t>described as (a) named special education teachers or educators, (b) hold a teaching certification in special education, or (c) report working as a special education teacher/educator with an emergency certification or provisional license in a K-12 school. This definition excluded paraprofessionals, librarians, technology specialists, and school administrators. If studies included</w:t>
      </w:r>
      <w:r w:rsidR="00121C50" w:rsidRPr="009B686A">
        <w:rPr>
          <w:lang w:val="en-US"/>
        </w:rPr>
        <w:t xml:space="preserve"> </w:t>
      </w:r>
      <w:r w:rsidRPr="009B686A">
        <w:rPr>
          <w:lang w:val="en-US"/>
        </w:rPr>
        <w:t>participants outside of this definition</w:t>
      </w:r>
      <w:r w:rsidR="00121C50" w:rsidRPr="009B686A">
        <w:rPr>
          <w:lang w:val="en-US"/>
        </w:rPr>
        <w:t xml:space="preserve"> and </w:t>
      </w:r>
      <w:r w:rsidR="008C59AB">
        <w:rPr>
          <w:lang w:val="en-US"/>
        </w:rPr>
        <w:t>others</w:t>
      </w:r>
      <w:r w:rsidR="00121C50" w:rsidRPr="009B686A">
        <w:rPr>
          <w:lang w:val="en-US"/>
        </w:rPr>
        <w:t xml:space="preserve"> who met </w:t>
      </w:r>
      <w:r w:rsidR="00180290" w:rsidRPr="009B686A">
        <w:rPr>
          <w:lang w:val="en-US"/>
        </w:rPr>
        <w:t xml:space="preserve">the </w:t>
      </w:r>
      <w:r w:rsidR="00121C50" w:rsidRPr="009B686A">
        <w:rPr>
          <w:lang w:val="en-US"/>
        </w:rPr>
        <w:t>criteria</w:t>
      </w:r>
      <w:r w:rsidRPr="009B686A">
        <w:rPr>
          <w:lang w:val="en-US"/>
        </w:rPr>
        <w:t xml:space="preserve">, data </w:t>
      </w:r>
      <w:r w:rsidR="00121C50" w:rsidRPr="009B686A">
        <w:rPr>
          <w:lang w:val="en-US"/>
        </w:rPr>
        <w:t xml:space="preserve">for included participants </w:t>
      </w:r>
      <w:r w:rsidRPr="009B686A">
        <w:rPr>
          <w:lang w:val="en-US"/>
        </w:rPr>
        <w:t xml:space="preserve">had to be able to be disaggregated </w:t>
      </w:r>
      <w:r w:rsidR="00121C50" w:rsidRPr="009B686A">
        <w:rPr>
          <w:lang w:val="en-US"/>
        </w:rPr>
        <w:t>from participants who did not meet the</w:t>
      </w:r>
      <w:r w:rsidRPr="009B686A">
        <w:rPr>
          <w:lang w:val="en-US"/>
        </w:rPr>
        <w:t xml:space="preserve"> </w:t>
      </w:r>
      <w:r w:rsidR="001D5AE0" w:rsidRPr="009B686A">
        <w:rPr>
          <w:lang w:val="en-US"/>
        </w:rPr>
        <w:t>criteria</w:t>
      </w:r>
      <w:r w:rsidR="00DB5FD3" w:rsidRPr="009B686A">
        <w:rPr>
          <w:lang w:val="en-US"/>
        </w:rPr>
        <w:t xml:space="preserve"> to be included</w:t>
      </w:r>
      <w:r w:rsidRPr="009B686A">
        <w:rPr>
          <w:lang w:val="en-US"/>
        </w:rPr>
        <w:t>.</w:t>
      </w:r>
      <w:r w:rsidR="00121C50" w:rsidRPr="009B686A">
        <w:rPr>
          <w:lang w:val="en-US"/>
        </w:rPr>
        <w:t xml:space="preserve"> </w:t>
      </w:r>
    </w:p>
    <w:p w14:paraId="6A28A001" w14:textId="77777777" w:rsidR="003F65F5" w:rsidRDefault="00121C50" w:rsidP="009B686A">
      <w:pPr>
        <w:spacing w:line="480" w:lineRule="auto"/>
        <w:ind w:firstLine="720"/>
        <w:rPr>
          <w:lang w:val="en-US"/>
        </w:rPr>
      </w:pPr>
      <w:r w:rsidRPr="009B686A">
        <w:rPr>
          <w:lang w:val="en-US"/>
        </w:rPr>
        <w:t xml:space="preserve">Second, </w:t>
      </w:r>
      <w:r w:rsidR="00180290" w:rsidRPr="009B686A">
        <w:rPr>
          <w:lang w:val="en-US"/>
        </w:rPr>
        <w:t>t</w:t>
      </w:r>
      <w:r w:rsidR="00AB5A5B" w:rsidRPr="009B686A">
        <w:rPr>
          <w:lang w:val="en-US"/>
        </w:rPr>
        <w:t>he primary intervention was professional development, coaching, or training to improve the implementation or use of educational technolog</w:t>
      </w:r>
      <w:r w:rsidR="00C70DE4" w:rsidRPr="009B686A">
        <w:rPr>
          <w:lang w:val="en-US"/>
        </w:rPr>
        <w:t>ies</w:t>
      </w:r>
      <w:r w:rsidR="00AB5A5B" w:rsidRPr="009B686A">
        <w:rPr>
          <w:lang w:val="en-US"/>
        </w:rPr>
        <w:t xml:space="preserve"> in the participan</w:t>
      </w:r>
      <w:r w:rsidRPr="009B686A">
        <w:rPr>
          <w:lang w:val="en-US"/>
        </w:rPr>
        <w:t>t</w:t>
      </w:r>
      <w:r w:rsidR="005F7A01" w:rsidRPr="009B686A">
        <w:rPr>
          <w:lang w:val="en-US"/>
        </w:rPr>
        <w:t>’s</w:t>
      </w:r>
      <w:r w:rsidR="00AB5A5B" w:rsidRPr="009B686A">
        <w:rPr>
          <w:lang w:val="en-US"/>
        </w:rPr>
        <w:t xml:space="preserve"> delivery of instruction</w:t>
      </w:r>
      <w:r w:rsidR="005F7A01" w:rsidRPr="009B686A">
        <w:rPr>
          <w:lang w:val="en-US"/>
        </w:rPr>
        <w:t>,</w:t>
      </w:r>
      <w:r w:rsidR="00AB5A5B" w:rsidRPr="009B686A">
        <w:rPr>
          <w:lang w:val="en-US"/>
        </w:rPr>
        <w:t xml:space="preserve"> as reported by study authors.</w:t>
      </w:r>
      <w:r w:rsidRPr="009B686A">
        <w:rPr>
          <w:lang w:val="en-US"/>
        </w:rPr>
        <w:t xml:space="preserve"> Professional development, coaching, or training were defined as </w:t>
      </w:r>
      <w:r w:rsidR="00C25829" w:rsidRPr="009B686A">
        <w:rPr>
          <w:lang w:val="en-US"/>
        </w:rPr>
        <w:t xml:space="preserve">targeted </w:t>
      </w:r>
      <w:r w:rsidR="005A7408" w:rsidRPr="009B686A">
        <w:rPr>
          <w:lang w:val="en-US"/>
        </w:rPr>
        <w:t>c</w:t>
      </w:r>
      <w:r w:rsidR="00E60D82" w:rsidRPr="009B686A">
        <w:rPr>
          <w:lang w:val="en-US"/>
        </w:rPr>
        <w:t xml:space="preserve">ontinuing education </w:t>
      </w:r>
      <w:r w:rsidR="007751F1" w:rsidRPr="009B686A">
        <w:rPr>
          <w:lang w:val="en-US"/>
        </w:rPr>
        <w:t>techniques</w:t>
      </w:r>
      <w:r w:rsidR="00044269" w:rsidRPr="009B686A">
        <w:rPr>
          <w:lang w:val="en-US"/>
        </w:rPr>
        <w:t xml:space="preserve"> </w:t>
      </w:r>
      <w:r w:rsidR="00254C42" w:rsidRPr="009B686A">
        <w:rPr>
          <w:lang w:val="en-US"/>
        </w:rPr>
        <w:t xml:space="preserve">to improve </w:t>
      </w:r>
      <w:r w:rsidR="00E60D82" w:rsidRPr="009B686A">
        <w:rPr>
          <w:lang w:val="en-US"/>
        </w:rPr>
        <w:t>teacher</w:t>
      </w:r>
      <w:r w:rsidR="00254C42" w:rsidRPr="009B686A">
        <w:rPr>
          <w:lang w:val="en-US"/>
        </w:rPr>
        <w:t xml:space="preserve"> practice</w:t>
      </w:r>
      <w:r w:rsidR="00044269" w:rsidRPr="009B686A">
        <w:rPr>
          <w:lang w:val="en-US"/>
        </w:rPr>
        <w:t>,</w:t>
      </w:r>
      <w:r w:rsidR="007751F1" w:rsidRPr="009B686A">
        <w:rPr>
          <w:lang w:val="en-US"/>
        </w:rPr>
        <w:t xml:space="preserve"> including collaborative progress monitoring, use of live model(s), use of video model(s), role play, independent practice, self</w:t>
      </w:r>
      <w:r w:rsidR="00E60D82" w:rsidRPr="009B686A">
        <w:rPr>
          <w:lang w:val="en-US"/>
        </w:rPr>
        <w:t>-</w:t>
      </w:r>
      <w:r w:rsidR="007751F1" w:rsidRPr="009B686A">
        <w:rPr>
          <w:lang w:val="en-US"/>
        </w:rPr>
        <w:t xml:space="preserve">reflection, </w:t>
      </w:r>
      <w:r w:rsidR="00044269" w:rsidRPr="009B686A">
        <w:rPr>
          <w:lang w:val="en-US"/>
        </w:rPr>
        <w:t>performance feedback, written directions, problem</w:t>
      </w:r>
      <w:r w:rsidR="00E60D82" w:rsidRPr="009B686A">
        <w:rPr>
          <w:lang w:val="en-US"/>
        </w:rPr>
        <w:t>-</w:t>
      </w:r>
      <w:r w:rsidR="00044269" w:rsidRPr="009B686A">
        <w:rPr>
          <w:lang w:val="en-US"/>
        </w:rPr>
        <w:t>solving discussions, in-service</w:t>
      </w:r>
      <w:r w:rsidR="00E60D82" w:rsidRPr="009B686A">
        <w:rPr>
          <w:lang w:val="en-US"/>
        </w:rPr>
        <w:t xml:space="preserve"> workshops</w:t>
      </w:r>
      <w:r w:rsidR="00044269" w:rsidRPr="009B686A">
        <w:rPr>
          <w:lang w:val="en-US"/>
        </w:rPr>
        <w:t xml:space="preserve">, peer mentoring, </w:t>
      </w:r>
      <w:r w:rsidR="0020545E" w:rsidRPr="009B686A">
        <w:rPr>
          <w:lang w:val="en-US"/>
        </w:rPr>
        <w:t xml:space="preserve">or </w:t>
      </w:r>
      <w:r w:rsidR="00044269" w:rsidRPr="009B686A">
        <w:rPr>
          <w:lang w:val="en-US"/>
        </w:rPr>
        <w:t>communit</w:t>
      </w:r>
      <w:r w:rsidR="0020545E" w:rsidRPr="009B686A">
        <w:rPr>
          <w:lang w:val="en-US"/>
        </w:rPr>
        <w:t>ies</w:t>
      </w:r>
      <w:r w:rsidR="00044269" w:rsidRPr="009B686A">
        <w:rPr>
          <w:lang w:val="en-US"/>
        </w:rPr>
        <w:t xml:space="preserve"> of practice</w:t>
      </w:r>
      <w:r w:rsidRPr="009B686A">
        <w:rPr>
          <w:lang w:val="en-US"/>
        </w:rPr>
        <w:t xml:space="preserve">. </w:t>
      </w:r>
    </w:p>
    <w:p w14:paraId="6F5863A8" w14:textId="033B8228" w:rsidR="00AB5A5B" w:rsidRPr="00F14B34" w:rsidRDefault="00121C50" w:rsidP="009B686A">
      <w:pPr>
        <w:spacing w:line="480" w:lineRule="auto"/>
        <w:ind w:firstLine="720"/>
        <w:rPr>
          <w:b/>
          <w:bCs/>
          <w:lang w:val="en-US"/>
        </w:rPr>
      </w:pPr>
      <w:r w:rsidRPr="009B686A">
        <w:rPr>
          <w:lang w:val="en-US"/>
        </w:rPr>
        <w:t>Educational technolog</w:t>
      </w:r>
      <w:r w:rsidR="00C70DE4" w:rsidRPr="009B686A">
        <w:rPr>
          <w:lang w:val="en-US"/>
        </w:rPr>
        <w:t>ies</w:t>
      </w:r>
      <w:r w:rsidRPr="009B686A">
        <w:rPr>
          <w:lang w:val="en-US"/>
        </w:rPr>
        <w:t xml:space="preserve"> </w:t>
      </w:r>
      <w:r w:rsidR="00C70DE4" w:rsidRPr="009B686A">
        <w:rPr>
          <w:lang w:val="en-US"/>
        </w:rPr>
        <w:t xml:space="preserve">were </w:t>
      </w:r>
      <w:r w:rsidRPr="009B686A">
        <w:rPr>
          <w:lang w:val="en-US"/>
        </w:rPr>
        <w:t>defined as</w:t>
      </w:r>
      <w:r w:rsidR="00476356" w:rsidRPr="009B686A">
        <w:rPr>
          <w:lang w:val="en-US"/>
        </w:rPr>
        <w:t xml:space="preserve"> </w:t>
      </w:r>
      <w:r w:rsidR="001029D1" w:rsidRPr="009B686A">
        <w:rPr>
          <w:lang w:val="en-US"/>
        </w:rPr>
        <w:t>(</w:t>
      </w:r>
      <w:r w:rsidR="00DB5FD3" w:rsidRPr="009B686A">
        <w:rPr>
          <w:lang w:val="en-US"/>
        </w:rPr>
        <w:t>a</w:t>
      </w:r>
      <w:r w:rsidR="001029D1" w:rsidRPr="009B686A">
        <w:rPr>
          <w:lang w:val="en-US"/>
        </w:rPr>
        <w:t>) hardware and (</w:t>
      </w:r>
      <w:r w:rsidR="00DB5FD3" w:rsidRPr="009B686A">
        <w:rPr>
          <w:lang w:val="en-US"/>
        </w:rPr>
        <w:t>b</w:t>
      </w:r>
      <w:r w:rsidR="001029D1" w:rsidRPr="009B686A">
        <w:rPr>
          <w:lang w:val="en-US"/>
        </w:rPr>
        <w:t>) software technologies</w:t>
      </w:r>
      <w:r w:rsidR="00476356" w:rsidRPr="009B686A">
        <w:rPr>
          <w:lang w:val="en-US"/>
        </w:rPr>
        <w:t xml:space="preserve">. </w:t>
      </w:r>
      <w:r w:rsidR="001029D1" w:rsidRPr="009B686A">
        <w:rPr>
          <w:lang w:val="en-US"/>
        </w:rPr>
        <w:t>Hardware include</w:t>
      </w:r>
      <w:r w:rsidR="00476356" w:rsidRPr="009B686A">
        <w:rPr>
          <w:lang w:val="en-US"/>
        </w:rPr>
        <w:t xml:space="preserve">d </w:t>
      </w:r>
      <w:r w:rsidR="006A626F" w:rsidRPr="009B686A">
        <w:rPr>
          <w:lang w:val="en-US"/>
        </w:rPr>
        <w:t xml:space="preserve">author report of </w:t>
      </w:r>
      <w:r w:rsidR="001029D1" w:rsidRPr="009B686A">
        <w:rPr>
          <w:lang w:val="en-US"/>
        </w:rPr>
        <w:t xml:space="preserve">one </w:t>
      </w:r>
      <w:r w:rsidR="006A626F" w:rsidRPr="009B686A">
        <w:rPr>
          <w:lang w:val="en-US"/>
        </w:rPr>
        <w:t xml:space="preserve">or more </w:t>
      </w:r>
      <w:r w:rsidR="001029D1" w:rsidRPr="009B686A">
        <w:rPr>
          <w:lang w:val="en-US"/>
        </w:rPr>
        <w:t>of: personal computers (</w:t>
      </w:r>
      <w:r w:rsidR="006A626F" w:rsidRPr="009B686A">
        <w:rPr>
          <w:lang w:val="en-US"/>
        </w:rPr>
        <w:t>i.e.,</w:t>
      </w:r>
      <w:r w:rsidR="001029D1" w:rsidRPr="009B686A">
        <w:rPr>
          <w:lang w:val="en-US"/>
        </w:rPr>
        <w:t xml:space="preserve"> laptops, desktops, or </w:t>
      </w:r>
      <w:r w:rsidR="006A626F" w:rsidRPr="009B686A">
        <w:rPr>
          <w:lang w:val="en-US"/>
        </w:rPr>
        <w:t>C</w:t>
      </w:r>
      <w:r w:rsidR="001029D1" w:rsidRPr="009B686A">
        <w:rPr>
          <w:lang w:val="en-US"/>
        </w:rPr>
        <w:t>hromebooks), mobile devices (i.e</w:t>
      </w:r>
      <w:r w:rsidR="00E804C8" w:rsidRPr="009B686A">
        <w:rPr>
          <w:lang w:val="en-US"/>
        </w:rPr>
        <w:t>.,</w:t>
      </w:r>
      <w:r w:rsidR="001029D1" w:rsidRPr="009B686A">
        <w:rPr>
          <w:lang w:val="en-US"/>
        </w:rPr>
        <w:t xml:space="preserve"> iOS or Android phones and tablets), eReaders (i.e</w:t>
      </w:r>
      <w:r w:rsidR="006A626F" w:rsidRPr="009B686A">
        <w:rPr>
          <w:lang w:val="en-US"/>
        </w:rPr>
        <w:t>.,</w:t>
      </w:r>
      <w:r w:rsidR="001029D1" w:rsidRPr="009B686A">
        <w:rPr>
          <w:lang w:val="en-US"/>
        </w:rPr>
        <w:t xml:space="preserve"> Kindle, Nook, or Kobu), extended/virtual reality (XR/VR) headsets (</w:t>
      </w:r>
      <w:r w:rsidR="00E804C8" w:rsidRPr="009B686A">
        <w:rPr>
          <w:lang w:val="en-US"/>
        </w:rPr>
        <w:t>i.e.,</w:t>
      </w:r>
      <w:r w:rsidR="001029D1" w:rsidRPr="009B686A">
        <w:rPr>
          <w:lang w:val="en-US"/>
        </w:rPr>
        <w:t xml:space="preserve"> Meta Quest, Oculus, HTC Vive, or Apple Vision Pro), Interactive Displays (i.e</w:t>
      </w:r>
      <w:r w:rsidR="006A626F" w:rsidRPr="009B686A">
        <w:rPr>
          <w:lang w:val="en-US"/>
        </w:rPr>
        <w:t>.,</w:t>
      </w:r>
      <w:r w:rsidR="001029D1" w:rsidRPr="009B686A">
        <w:rPr>
          <w:lang w:val="en-US"/>
        </w:rPr>
        <w:t xml:space="preserve"> SmartBoard, Planer, or BenQ). Software include</w:t>
      </w:r>
      <w:r w:rsidR="00476356" w:rsidRPr="009B686A">
        <w:rPr>
          <w:lang w:val="en-US"/>
        </w:rPr>
        <w:t>d</w:t>
      </w:r>
      <w:r w:rsidR="001029D1" w:rsidRPr="009B686A">
        <w:rPr>
          <w:lang w:val="en-US"/>
        </w:rPr>
        <w:t xml:space="preserve"> any author report of one </w:t>
      </w:r>
      <w:r w:rsidR="005F7A01" w:rsidRPr="009B686A">
        <w:rPr>
          <w:lang w:val="en-US"/>
        </w:rPr>
        <w:t xml:space="preserve">or more </w:t>
      </w:r>
      <w:r w:rsidR="001029D1" w:rsidRPr="009B686A">
        <w:rPr>
          <w:lang w:val="en-US"/>
        </w:rPr>
        <w:t>of: generative Artificial Intelligence (AI</w:t>
      </w:r>
      <w:r w:rsidR="00473BDB">
        <w:rPr>
          <w:lang w:val="en-US"/>
        </w:rPr>
        <w:t xml:space="preserve">; </w:t>
      </w:r>
      <w:r w:rsidR="001029D1" w:rsidRPr="009B686A">
        <w:rPr>
          <w:lang w:val="en-US"/>
        </w:rPr>
        <w:t>i.e</w:t>
      </w:r>
      <w:r w:rsidR="00E804C8" w:rsidRPr="009B686A">
        <w:rPr>
          <w:lang w:val="en-US"/>
        </w:rPr>
        <w:t>.,</w:t>
      </w:r>
      <w:r w:rsidR="001029D1" w:rsidRPr="009B686A">
        <w:rPr>
          <w:lang w:val="en-US"/>
        </w:rPr>
        <w:t xml:space="preserve"> ChatGPT, Gemini, Perplexity, Claude, or Llama), Applications (i.e</w:t>
      </w:r>
      <w:r w:rsidR="005F7A01" w:rsidRPr="009B686A">
        <w:rPr>
          <w:lang w:val="en-US"/>
        </w:rPr>
        <w:t>.,</w:t>
      </w:r>
      <w:r w:rsidR="001029D1" w:rsidRPr="009B686A">
        <w:rPr>
          <w:lang w:val="en-US"/>
        </w:rPr>
        <w:t xml:space="preserve"> Dragon, ToDoist, </w:t>
      </w:r>
      <w:r w:rsidR="001029D1" w:rsidRPr="009B686A">
        <w:rPr>
          <w:lang w:val="en-US"/>
        </w:rPr>
        <w:lastRenderedPageBreak/>
        <w:t>Notability, Grammarly, or Forest, ), Websites (</w:t>
      </w:r>
      <w:r w:rsidR="005F7A01" w:rsidRPr="009B686A">
        <w:rPr>
          <w:lang w:val="en-US"/>
        </w:rPr>
        <w:t>i.e.,</w:t>
      </w:r>
      <w:r w:rsidR="001029D1" w:rsidRPr="009B686A">
        <w:rPr>
          <w:lang w:val="en-US"/>
        </w:rPr>
        <w:t xml:space="preserve"> ReadWriteThink, ReadTheory, LearningAtoZ, or Code.org), Learning Management Systems (</w:t>
      </w:r>
      <w:r w:rsidR="005F7A01" w:rsidRPr="009B686A">
        <w:rPr>
          <w:lang w:val="en-US"/>
        </w:rPr>
        <w:t>i.e.,</w:t>
      </w:r>
      <w:r w:rsidR="001029D1" w:rsidRPr="009B686A">
        <w:rPr>
          <w:lang w:val="en-US"/>
        </w:rPr>
        <w:t xml:space="preserve"> Google Classroom, Canvas, Schoology, or Moodle), Content Delivery or Learning Platforms (</w:t>
      </w:r>
      <w:r w:rsidR="005F7A01" w:rsidRPr="009B686A">
        <w:rPr>
          <w:lang w:val="en-US"/>
        </w:rPr>
        <w:t>i.e.,</w:t>
      </w:r>
      <w:r w:rsidR="001029D1" w:rsidRPr="009B686A">
        <w:rPr>
          <w:lang w:val="en-US"/>
        </w:rPr>
        <w:t xml:space="preserve"> Khan Academy, IXL, NewsELA, Nearpod, or BrainPop)</w:t>
      </w:r>
      <w:r w:rsidRPr="009B686A">
        <w:rPr>
          <w:lang w:val="en-US"/>
        </w:rPr>
        <w:t xml:space="preserve">. </w:t>
      </w:r>
    </w:p>
    <w:p w14:paraId="2CF41B8B" w14:textId="77777777" w:rsidR="00AB5A5B" w:rsidRPr="00F14B34" w:rsidRDefault="00AB5A5B" w:rsidP="00572B2E">
      <w:pPr>
        <w:pStyle w:val="Heading2"/>
      </w:pPr>
      <w:r w:rsidRPr="00F14B34">
        <w:t>Screening Procedures</w:t>
      </w:r>
    </w:p>
    <w:p w14:paraId="2BD1728C" w14:textId="13ECCA55" w:rsidR="00AB5A5B" w:rsidRPr="00F14B34" w:rsidRDefault="00AB5A5B" w:rsidP="00E0546B">
      <w:pPr>
        <w:spacing w:line="480" w:lineRule="auto"/>
        <w:ind w:firstLine="720"/>
      </w:pPr>
      <w:r w:rsidRPr="009B686A">
        <w:rPr>
          <w:lang w:val="en-US"/>
        </w:rPr>
        <w:t xml:space="preserve">We first screened all records retrieved from the database search for duplicates </w:t>
      </w:r>
      <m:oMath>
        <m:r>
          <w:rPr>
            <w:rFonts w:ascii="Cambria Math" w:hAnsi="Cambria Math"/>
          </w:rPr>
          <m:t>(n=30)</m:t>
        </m:r>
      </m:oMath>
      <w:r w:rsidRPr="009B686A">
        <w:rPr>
          <w:lang w:val="en-US"/>
        </w:rPr>
        <w:t xml:space="preserve">. </w:t>
      </w:r>
      <w:r w:rsidR="00F75086" w:rsidRPr="009B686A">
        <w:rPr>
          <w:lang w:val="en-US"/>
        </w:rPr>
        <w:t>W</w:t>
      </w:r>
      <w:r w:rsidRPr="009B686A">
        <w:rPr>
          <w:lang w:val="en-US"/>
        </w:rPr>
        <w:t xml:space="preserve">e </w:t>
      </w:r>
      <w:r w:rsidR="00DB5FD3" w:rsidRPr="009B686A">
        <w:rPr>
          <w:lang w:val="en-US"/>
        </w:rPr>
        <w:t>could</w:t>
      </w:r>
      <w:r w:rsidRPr="009B686A">
        <w:rPr>
          <w:lang w:val="en-US"/>
        </w:rPr>
        <w:t xml:space="preserve"> </w:t>
      </w:r>
      <w:r w:rsidR="00DB5FD3" w:rsidRPr="009B686A">
        <w:rPr>
          <w:lang w:val="en-US"/>
        </w:rPr>
        <w:t>not</w:t>
      </w:r>
      <w:r w:rsidRPr="009B686A">
        <w:rPr>
          <w:lang w:val="en-US"/>
        </w:rPr>
        <w:t xml:space="preserve"> retrieve </w:t>
      </w:r>
      <w:r w:rsidR="00F75086" w:rsidRPr="009B686A">
        <w:rPr>
          <w:lang w:val="en-US"/>
        </w:rPr>
        <w:t>a sampling of</w:t>
      </w:r>
      <w:r w:rsidR="002701D8" w:rsidRPr="009B686A">
        <w:rPr>
          <w:lang w:val="en-US"/>
        </w:rPr>
        <w:t xml:space="preserve"> </w:t>
      </w:r>
      <w:r w:rsidR="00DB5FD3" w:rsidRPr="009B686A">
        <w:rPr>
          <w:lang w:val="en-US"/>
        </w:rPr>
        <w:t>records</w:t>
      </w:r>
      <w:r w:rsidRPr="009B686A">
        <w:rPr>
          <w:lang w:val="en-US"/>
        </w:rPr>
        <w:t xml:space="preserve"> </w:t>
      </w:r>
      <m:oMath>
        <m:r>
          <w:rPr>
            <w:rFonts w:ascii="Cambria Math" w:hAnsi="Cambria Math"/>
          </w:rPr>
          <m:t>(n=23)</m:t>
        </m:r>
      </m:oMath>
      <w:r w:rsidRPr="009B686A">
        <w:rPr>
          <w:lang w:val="en-US"/>
        </w:rPr>
        <w:t xml:space="preserve"> from the database </w:t>
      </w:r>
      <w:r w:rsidR="00121C50" w:rsidRPr="009B686A">
        <w:rPr>
          <w:lang w:val="en-US"/>
        </w:rPr>
        <w:t xml:space="preserve">search </w:t>
      </w:r>
      <w:r w:rsidR="00BE496F" w:rsidRPr="009B686A">
        <w:rPr>
          <w:lang w:val="en-US"/>
        </w:rPr>
        <w:t>output</w:t>
      </w:r>
      <w:r w:rsidR="00F75086" w:rsidRPr="009B686A">
        <w:rPr>
          <w:lang w:val="en-US"/>
        </w:rPr>
        <w:t>,</w:t>
      </w:r>
      <w:r w:rsidR="00DB5FD3" w:rsidRPr="009B686A">
        <w:rPr>
          <w:lang w:val="en-US"/>
        </w:rPr>
        <w:t xml:space="preserve"> despite a</w:t>
      </w:r>
      <w:r w:rsidR="00F75086" w:rsidRPr="009B686A">
        <w:rPr>
          <w:lang w:val="en-US"/>
        </w:rPr>
        <w:t xml:space="preserve">sking </w:t>
      </w:r>
      <w:r w:rsidR="00DB5FD3" w:rsidRPr="009B686A">
        <w:rPr>
          <w:lang w:val="en-US"/>
        </w:rPr>
        <w:t>the university librarian</w:t>
      </w:r>
      <w:r w:rsidR="002701D8" w:rsidRPr="009B686A">
        <w:rPr>
          <w:lang w:val="en-US"/>
        </w:rPr>
        <w:t xml:space="preserve"> for help</w:t>
      </w:r>
      <w:r w:rsidR="00DB5FD3" w:rsidRPr="009B686A">
        <w:rPr>
          <w:lang w:val="en-US"/>
        </w:rPr>
        <w:t>,</w:t>
      </w:r>
      <w:r w:rsidR="00BE496F" w:rsidRPr="009B686A">
        <w:rPr>
          <w:lang w:val="en-US"/>
        </w:rPr>
        <w:t xml:space="preserve"> </w:t>
      </w:r>
      <w:r w:rsidR="00F75086" w:rsidRPr="009B686A">
        <w:rPr>
          <w:lang w:val="en-US"/>
        </w:rPr>
        <w:t xml:space="preserve">so </w:t>
      </w:r>
      <w:r w:rsidR="00DB5FD3" w:rsidRPr="009B686A">
        <w:rPr>
          <w:lang w:val="en-US"/>
        </w:rPr>
        <w:t>we</w:t>
      </w:r>
      <w:r w:rsidRPr="009B686A">
        <w:rPr>
          <w:lang w:val="en-US"/>
        </w:rPr>
        <w:t xml:space="preserve"> excluded them. </w:t>
      </w:r>
    </w:p>
    <w:p w14:paraId="1D24308A" w14:textId="71DDD8F5" w:rsidR="00AB5A5B" w:rsidRPr="00F14B34" w:rsidRDefault="00AB5A5B" w:rsidP="00E0546B">
      <w:pPr>
        <w:spacing w:line="480" w:lineRule="auto"/>
        <w:ind w:firstLine="720"/>
      </w:pPr>
      <w:r w:rsidRPr="00F14B34">
        <w:t>We conducted the screening process in two phases: Title and Abstract Screening (TAS) and Full-Text Screening (FTS)</w:t>
      </w:r>
      <w:r w:rsidR="00121C50" w:rsidRPr="00F14B34">
        <w:t xml:space="preserve"> following PRISMA guidelines </w:t>
      </w:r>
      <w:r w:rsidR="008C59AB">
        <w:fldChar w:fldCharType="begin"/>
      </w:r>
      <w:r w:rsidR="00B72F3A">
        <w:instrText xml:space="preserve"> ADDIN ZOTERO_ITEM CSL_CITATION {"citationID":"claJOYNk","properties":{"formattedCitation":"(Page et al., 2021)","plainCitation":"(Page et al., 2021)","noteIndex":0},"citationItems":[{"id":791,"uris":["http://zotero.org/users/15409160/items/DJ8ZM98D"],"itemData":{"id":791,"type":"article-journal","container-title":"PLOS Medicine","DOI":"10.1371/journal.pmed.1003583","ISSN":"1549-1676","issue":"3","journalAbbreviation":"PLoS Med","language":"en","note":"TLDR: PRISMA 2020, an updated reporting guideline for systematic reviews and meta-analyses, is described, which aims to provide an updated standard for evaluating the quality of systematic reviews in the literature.","page":"e1003583","source":"DOI.org (Crossref)","title":"The PRISMA 2020 statement: An updated guideline for reporting systematic reviews","title-short":"The PRISMA 2020 statement","URL":"https://dx.plos.org/10.1371/journal.pmed.1003583","volume":"18","author":[{"family":"Page","given":"Matthew J."},{"family":"McKenzie","given":"Joanne E."},{"family":"Bossuyt","given":"Patrick M."},{"family":"Boutron","given":"Isabelle"},{"family":"Hoffmann","given":"Tammy C."},{"family":"Mulrow","given":"Cynthia D."},{"family":"Shamseer","given":"Larissa"},{"family":"Tetzlaff","given":"Jennifer M."},{"family":"Akl","given":"Elie A."},{"family":"Brennan","given":"Sue E."},{"family":"Chou","given":"Roger"},{"family":"Glanville","given":"Julie"},{"family":"Grimshaw","given":"Jeremy M."},{"family":"Hróbjartsson","given":"Asbjørn"},{"family":"Lalu","given":"Manoj M."},{"family":"Li","given":"Tianjing"},{"family":"Loder","given":"Elizabeth W."},{"family":"Mayo-Wilson","given":"Evan"},{"family":"McDonald","given":"Steve"},{"family":"McGuinness","given":"Luke A."},{"family":"Stewart","given":"Lesley A."},{"family":"Thomas","given":"James"},{"family":"Tricco","given":"Andrea C."},{"family":"Welch","given":"Vivian A."},{"family":"Whiting","given":"Penny"},{"family":"Moher","given":"David"}],"accessed":{"date-parts":[["2024",10,18]]},"issued":{"date-parts":[["2021",3,29]]},"citation-key":"pagePRISMA2020Statement2021"}}],"schema":"https://github.com/citation-style-language/schema/raw/master/csl-citation.json"} </w:instrText>
      </w:r>
      <w:r w:rsidR="008C59AB">
        <w:fldChar w:fldCharType="separate"/>
      </w:r>
      <w:r w:rsidR="00B72F3A">
        <w:rPr>
          <w:noProof/>
        </w:rPr>
        <w:t>(Page et al., 2021)</w:t>
      </w:r>
      <w:r w:rsidR="008C59AB">
        <w:fldChar w:fldCharType="end"/>
      </w:r>
      <w:r w:rsidRPr="00F14B34">
        <w:t xml:space="preserve">. During the TAS phase, we reviewed articles to </w:t>
      </w:r>
      <w:r w:rsidR="002701D8" w:rsidRPr="00F14B34">
        <w:t>decide</w:t>
      </w:r>
      <w:r w:rsidRPr="00F14B34">
        <w:t xml:space="preserve"> whether they </w:t>
      </w:r>
      <w:r w:rsidR="00121C50" w:rsidRPr="00F14B34">
        <w:t xml:space="preserve">met </w:t>
      </w:r>
      <w:r w:rsidR="002701D8">
        <w:t>all the inclusion and no exclusion</w:t>
      </w:r>
      <w:r w:rsidRPr="00F14B34">
        <w:t xml:space="preserve"> criteria. We conducted the TAS process with caution, prioritizing the inclusion of potentially relevant articles and excluding only those that definitively fell outside the criteria. Articles that passed the TAS phase underwent FTS, during which we examined each article in detail to confirm eligibility, relevance, and inclusion in this review. We followed the same process for the hand search screening, except that records passing the TAS phase were </w:t>
      </w:r>
      <w:r w:rsidR="00B20D51" w:rsidRPr="00F14B34">
        <w:t>at once</w:t>
      </w:r>
      <w:r w:rsidRPr="00F14B34">
        <w:t xml:space="preserve"> screened in full, with data combined across both phases. </w:t>
      </w:r>
      <w:r w:rsidR="00F75086">
        <w:t>Our</w:t>
      </w:r>
      <w:r w:rsidRPr="00F14B34">
        <w:t xml:space="preserve"> database screening resulted in the inclusion of ten articles. From the </w:t>
      </w:r>
      <w:r w:rsidR="00B20D51" w:rsidRPr="00F14B34">
        <w:t>hand-</w:t>
      </w:r>
      <w:r w:rsidRPr="00F14B34">
        <w:t xml:space="preserve">searched journals, the screening of JTATE added no </w:t>
      </w:r>
      <w:r w:rsidR="00F75086" w:rsidRPr="00F14B34">
        <w:t>other</w:t>
      </w:r>
      <w:r w:rsidRPr="00F14B34">
        <w:t xml:space="preserve"> records</w:t>
      </w:r>
      <w:r w:rsidR="00053D13" w:rsidRPr="00F14B34">
        <w:t>,</w:t>
      </w:r>
      <w:r w:rsidRPr="00F14B34">
        <w:t xml:space="preserve"> and JSET added </w:t>
      </w:r>
      <w:r w:rsidR="00C12267">
        <w:t>one</w:t>
      </w:r>
      <w:r w:rsidRPr="00F14B34">
        <w:t xml:space="preserve">. Thus, </w:t>
      </w:r>
      <m:oMath>
        <m:r>
          <w:rPr>
            <w:rFonts w:ascii="Cambria Math" w:hAnsi="Cambria Math"/>
          </w:rPr>
          <m:t>11</m:t>
        </m:r>
      </m:oMath>
      <w:r w:rsidR="00AB2B44" w:rsidRPr="00F14B34">
        <w:t xml:space="preserve"> </w:t>
      </w:r>
      <w:r w:rsidRPr="00F14B34">
        <w:t xml:space="preserve">articles are included in this review. </w:t>
      </w:r>
      <w:r w:rsidR="00F75086">
        <w:t xml:space="preserve">Our complete </w:t>
      </w:r>
      <w:r w:rsidRPr="00F14B34">
        <w:t xml:space="preserve">screening procedure is illustrated in the PRISMA diagram </w:t>
      </w:r>
      <w:r w:rsidR="00B72F3A">
        <w:t xml:space="preserve">in </w:t>
      </w:r>
      <w:r w:rsidRPr="00B72F3A">
        <w:rPr>
          <w:i/>
          <w:iCs/>
        </w:rPr>
        <w:t>Figure 1</w:t>
      </w:r>
      <w:r w:rsidRPr="00F14B34">
        <w:t>.</w:t>
      </w:r>
    </w:p>
    <w:p w14:paraId="16EB53BB" w14:textId="77777777" w:rsidR="00476356" w:rsidRDefault="00476356" w:rsidP="00A16ACD">
      <w:pPr>
        <w:pStyle w:val="Heading2"/>
        <w:rPr>
          <w:b w:val="0"/>
        </w:rPr>
      </w:pPr>
      <w:r>
        <w:t>Coder Descriptions</w:t>
      </w:r>
    </w:p>
    <w:p w14:paraId="380583C1" w14:textId="7FFB1E29" w:rsidR="00476356" w:rsidRDefault="00476356" w:rsidP="00E0546B">
      <w:pPr>
        <w:spacing w:line="480" w:lineRule="auto"/>
        <w:ind w:firstLine="720"/>
        <w:rPr>
          <w:b/>
          <w:bCs/>
        </w:rPr>
      </w:pPr>
      <w:r w:rsidRPr="00F14B34">
        <w:rPr>
          <w:lang w:val="en-US"/>
        </w:rPr>
        <w:t xml:space="preserve">The author, a first-year doctoral student in a doctoral program in special education emphasizing Instructional Design, Technology, and Innovation, conducted the descriptive coding </w:t>
      </w:r>
      <w:r w:rsidRPr="00F14B34">
        <w:rPr>
          <w:lang w:val="en-US"/>
        </w:rPr>
        <w:lastRenderedPageBreak/>
        <w:t>process. Preparation for coding included detailed coursework on systematic reviews under the supervision of an experienced researcher and professo</w:t>
      </w:r>
      <w:r>
        <w:rPr>
          <w:lang w:val="en-US"/>
        </w:rPr>
        <w:t>r.</w:t>
      </w:r>
      <w:r w:rsidR="00010114">
        <w:rPr>
          <w:lang w:val="en-US"/>
        </w:rPr>
        <w:t xml:space="preserve"> Secondary coding is planned before this piece is submitted for publication</w:t>
      </w:r>
      <w:r w:rsidR="00677050">
        <w:rPr>
          <w:lang w:val="en-US"/>
        </w:rPr>
        <w:t>.</w:t>
      </w:r>
    </w:p>
    <w:p w14:paraId="1066E325" w14:textId="06FF9B09" w:rsidR="00AB5A5B" w:rsidRPr="00F14B34" w:rsidRDefault="00AB5A5B" w:rsidP="00A16ACD">
      <w:pPr>
        <w:pStyle w:val="Heading2"/>
        <w:rPr>
          <w:b w:val="0"/>
        </w:rPr>
      </w:pPr>
      <w:r w:rsidRPr="00F14B34">
        <w:t xml:space="preserve">Descriptive Coding </w:t>
      </w:r>
    </w:p>
    <w:p w14:paraId="1122EDD1" w14:textId="42017B1F" w:rsidR="00D14719" w:rsidRDefault="00AB5A5B" w:rsidP="00E0546B">
      <w:pPr>
        <w:spacing w:line="480" w:lineRule="auto"/>
        <w:ind w:firstLine="720"/>
      </w:pPr>
      <w:r w:rsidRPr="009B686A">
        <w:rPr>
          <w:lang w:val="en-US"/>
        </w:rPr>
        <w:t xml:space="preserve">The purpose of the coding process was to systematically categorize and interpret key aspects of the studies included in this review to enable meaningful synthesis and </w:t>
      </w:r>
      <w:r w:rsidR="00523226" w:rsidRPr="009B686A">
        <w:rPr>
          <w:lang w:val="en-US"/>
        </w:rPr>
        <w:t>analysis</w:t>
      </w:r>
      <w:r w:rsidRPr="009B686A">
        <w:rPr>
          <w:lang w:val="en-US"/>
        </w:rPr>
        <w:t xml:space="preserve">. We used a detailed self-developed coding manual to systematically extract data on variables from each included study related to the categories: (1) </w:t>
      </w:r>
      <w:r w:rsidR="00CC7C7F">
        <w:rPr>
          <w:lang w:val="en-US"/>
        </w:rPr>
        <w:t>research</w:t>
      </w:r>
      <w:r w:rsidRPr="009B686A">
        <w:rPr>
          <w:lang w:val="en-US"/>
        </w:rPr>
        <w:t xml:space="preserve"> design</w:t>
      </w:r>
      <w:r w:rsidR="00121C50" w:rsidRPr="009B686A">
        <w:rPr>
          <w:lang w:val="en-US"/>
        </w:rPr>
        <w:t>,</w:t>
      </w:r>
      <w:r w:rsidRPr="009B686A">
        <w:rPr>
          <w:lang w:val="en-US"/>
        </w:rPr>
        <w:t xml:space="preserve"> (2) participants, (3) school setting, (4) intervention agents,</w:t>
      </w:r>
      <w:r w:rsidR="00476356" w:rsidRPr="009B686A">
        <w:rPr>
          <w:lang w:val="en-US"/>
        </w:rPr>
        <w:t xml:space="preserve"> and </w:t>
      </w:r>
      <w:r w:rsidRPr="009B686A">
        <w:rPr>
          <w:lang w:val="en-US"/>
        </w:rPr>
        <w:t>(5) PD intervention components.</w:t>
      </w:r>
    </w:p>
    <w:p w14:paraId="123FDBF5" w14:textId="77777777" w:rsidR="00D14719" w:rsidRDefault="00AC0389" w:rsidP="00E0546B">
      <w:pPr>
        <w:spacing w:line="480" w:lineRule="auto"/>
        <w:ind w:firstLine="720"/>
      </w:pPr>
      <w:r>
        <w:rPr>
          <w:lang w:val="en-US"/>
        </w:rPr>
        <w:t xml:space="preserve">We developed a </w:t>
      </w:r>
      <w:r w:rsidR="00097647" w:rsidRPr="00F14B34">
        <w:rPr>
          <w:lang w:val="en-US"/>
        </w:rPr>
        <w:t xml:space="preserve">comprehensive coding manual </w:t>
      </w:r>
      <w:r w:rsidR="00A94F13" w:rsidRPr="00F14B34">
        <w:rPr>
          <w:lang w:val="en-US"/>
        </w:rPr>
        <w:t xml:space="preserve">and reviewed </w:t>
      </w:r>
      <w:r>
        <w:rPr>
          <w:lang w:val="en-US"/>
        </w:rPr>
        <w:t xml:space="preserve">it </w:t>
      </w:r>
      <w:r w:rsidR="00097647" w:rsidRPr="00F14B34">
        <w:rPr>
          <w:lang w:val="en-US"/>
        </w:rPr>
        <w:t>to guide consistent coding decisions, ensuring methodological rigor.</w:t>
      </w:r>
      <w:r>
        <w:rPr>
          <w:lang w:val="en-US"/>
        </w:rPr>
        <w:t xml:space="preserve"> </w:t>
      </w:r>
      <w:r>
        <w:t>We created the</w:t>
      </w:r>
      <w:r w:rsidR="00AB5A5B" w:rsidRPr="00F14B34">
        <w:t xml:space="preserve"> coding manual </w:t>
      </w:r>
      <w:r w:rsidR="00B319F3" w:rsidRPr="00F14B34">
        <w:t xml:space="preserve">using a Google spreadsheet. </w:t>
      </w:r>
      <w:r w:rsidR="00240823" w:rsidRPr="00F14B34">
        <w:t xml:space="preserve">The manual </w:t>
      </w:r>
      <w:r w:rsidR="00AB5A5B" w:rsidRPr="00F14B34">
        <w:t xml:space="preserve">provided specific definitions, examples, non-examples, and categorical </w:t>
      </w:r>
      <w:r w:rsidR="00B67E05" w:rsidRPr="00F14B34">
        <w:t xml:space="preserve">options </w:t>
      </w:r>
      <w:r w:rsidR="00AB5A5B" w:rsidRPr="00F14B34">
        <w:t xml:space="preserve">for each variable of interest. </w:t>
      </w:r>
      <w:r>
        <w:t>We expected c</w:t>
      </w:r>
      <w:r w:rsidR="00AB5A5B" w:rsidRPr="00F14B34">
        <w:t>oders to u</w:t>
      </w:r>
      <w:r>
        <w:t>s</w:t>
      </w:r>
      <w:r w:rsidR="00AB5A5B" w:rsidRPr="00F14B34">
        <w:t xml:space="preserve">e </w:t>
      </w:r>
      <w:r w:rsidR="00950327" w:rsidRPr="00F14B34">
        <w:t>g</w:t>
      </w:r>
      <w:r w:rsidR="00AB5A5B" w:rsidRPr="00F14B34">
        <w:t xml:space="preserve">eneral </w:t>
      </w:r>
      <w:r w:rsidR="00950327" w:rsidRPr="00F14B34">
        <w:t xml:space="preserve">and </w:t>
      </w:r>
      <w:r>
        <w:t>s</w:t>
      </w:r>
      <w:r w:rsidR="00950327" w:rsidRPr="00F14B34">
        <w:t xml:space="preserve">pecific </w:t>
      </w:r>
      <w:r>
        <w:t>c</w:t>
      </w:r>
      <w:r w:rsidR="00AB5A5B" w:rsidRPr="00F14B34">
        <w:t xml:space="preserve">oding </w:t>
      </w:r>
      <w:r>
        <w:t>i</w:t>
      </w:r>
      <w:r w:rsidR="00AB5A5B" w:rsidRPr="00F14B34">
        <w:t>nstructions to guide their decisions, ensuring consistency across all articles.</w:t>
      </w:r>
    </w:p>
    <w:p w14:paraId="173DC898" w14:textId="676D6E02" w:rsidR="00D14719" w:rsidRDefault="00AB5A5B" w:rsidP="00E0546B">
      <w:pPr>
        <w:spacing w:line="480" w:lineRule="auto"/>
        <w:ind w:firstLine="720"/>
      </w:pPr>
      <w:r w:rsidRPr="00F14B34">
        <w:t>Individual categorical variables that</w:t>
      </w:r>
      <w:r w:rsidR="00F12B02" w:rsidRPr="00F14B34">
        <w:t xml:space="preserve"> could require</w:t>
      </w:r>
      <w:r w:rsidRPr="00F14B34">
        <w:t xml:space="preserve"> sp</w:t>
      </w:r>
      <w:r w:rsidR="00727581" w:rsidRPr="00F14B34">
        <w:t xml:space="preserve">ecific </w:t>
      </w:r>
      <w:r w:rsidRPr="00F14B34">
        <w:t>knowledge</w:t>
      </w:r>
      <w:r w:rsidR="00727581" w:rsidRPr="00F14B34">
        <w:t xml:space="preserve"> or vocabulary</w:t>
      </w:r>
      <w:r w:rsidRPr="00F14B34">
        <w:t xml:space="preserve"> related to special education </w:t>
      </w:r>
      <w:r w:rsidR="00727581" w:rsidRPr="00F14B34">
        <w:t xml:space="preserve">and </w:t>
      </w:r>
      <w:r w:rsidR="00D84660">
        <w:t>ET</w:t>
      </w:r>
      <w:r w:rsidRPr="00F14B34">
        <w:t xml:space="preserve"> had </w:t>
      </w:r>
      <w:r w:rsidR="00AC0389" w:rsidRPr="00F14B34">
        <w:t>added</w:t>
      </w:r>
      <w:r w:rsidRPr="00F14B34">
        <w:t xml:space="preserve"> definitions provided to aid in coding accuracy. When </w:t>
      </w:r>
      <w:r w:rsidR="00B05403" w:rsidRPr="00F14B34">
        <w:t xml:space="preserve">met with </w:t>
      </w:r>
      <w:r w:rsidRPr="00F14B34">
        <w:t xml:space="preserve">ambiguous data, coders </w:t>
      </w:r>
      <w:r w:rsidR="00342787" w:rsidRPr="00F14B34">
        <w:t>were instructed to</w:t>
      </w:r>
      <w:r w:rsidR="00476356">
        <w:t xml:space="preserve"> </w:t>
      </w:r>
      <w:r w:rsidR="007F03CD" w:rsidRPr="00F14B34">
        <w:t xml:space="preserve">thoroughly consult </w:t>
      </w:r>
      <w:r w:rsidR="0029359A" w:rsidRPr="00F14B34">
        <w:t xml:space="preserve">definitions and examples in the </w:t>
      </w:r>
      <w:r w:rsidR="00714BF5" w:rsidRPr="00F14B34">
        <w:t xml:space="preserve">coding </w:t>
      </w:r>
      <w:r w:rsidR="0029359A" w:rsidRPr="00F14B34">
        <w:t>manual</w:t>
      </w:r>
      <w:r w:rsidR="00714BF5" w:rsidRPr="00F14B34">
        <w:t>,</w:t>
      </w:r>
      <w:r w:rsidR="0029359A" w:rsidRPr="00F14B34">
        <w:t xml:space="preserve"> </w:t>
      </w:r>
      <w:r w:rsidR="00714BF5" w:rsidRPr="00F14B34">
        <w:t xml:space="preserve">use their best judgment, </w:t>
      </w:r>
      <w:r w:rsidR="00342787" w:rsidRPr="00F14B34">
        <w:t>err</w:t>
      </w:r>
      <w:r w:rsidRPr="00F14B34">
        <w:t xml:space="preserve"> on the side of conservatism</w:t>
      </w:r>
      <w:r w:rsidR="00570A65" w:rsidRPr="00F14B34">
        <w:t xml:space="preserve"> by selecting “not reported</w:t>
      </w:r>
      <w:r w:rsidR="00512072" w:rsidRPr="00F14B34">
        <w:t>,</w:t>
      </w:r>
      <w:r w:rsidR="00570A65" w:rsidRPr="00F14B34">
        <w:t>”</w:t>
      </w:r>
      <w:r w:rsidR="0029359A" w:rsidRPr="00F14B34">
        <w:t xml:space="preserve"> </w:t>
      </w:r>
      <w:r w:rsidR="00570A65" w:rsidRPr="00F14B34">
        <w:t xml:space="preserve">and to consult </w:t>
      </w:r>
      <w:r w:rsidR="0048030D" w:rsidRPr="00F14B34">
        <w:t>review</w:t>
      </w:r>
      <w:r w:rsidR="00570A65" w:rsidRPr="00F14B34">
        <w:t xml:space="preserve"> authors</w:t>
      </w:r>
      <w:r w:rsidR="0048030D" w:rsidRPr="00F14B34">
        <w:t xml:space="preserve"> for clarification</w:t>
      </w:r>
      <w:r w:rsidR="0029359A" w:rsidRPr="00F14B34">
        <w:t xml:space="preserve"> if necessar</w:t>
      </w:r>
      <w:r w:rsidR="00714BF5" w:rsidRPr="00F14B34">
        <w:t>y</w:t>
      </w:r>
      <w:r w:rsidRPr="00F14B34">
        <w:t xml:space="preserve">. </w:t>
      </w:r>
      <w:r w:rsidR="00C96D22" w:rsidRPr="00F14B34">
        <w:t xml:space="preserve">All categories across all variables could be coded as “not reported” if data from </w:t>
      </w:r>
      <w:r w:rsidR="00FA5263">
        <w:t xml:space="preserve">the </w:t>
      </w:r>
      <w:r w:rsidR="00C96D22" w:rsidRPr="00F14B34">
        <w:t xml:space="preserve">study authors were absent or too ambiguous to </w:t>
      </w:r>
      <w:r w:rsidR="00FA5263" w:rsidRPr="00F14B34">
        <w:t>de</w:t>
      </w:r>
      <w:r w:rsidR="00F03440">
        <w:t>termin</w:t>
      </w:r>
      <w:r w:rsidR="00FA5263" w:rsidRPr="00F14B34">
        <w:t>e</w:t>
      </w:r>
      <w:r w:rsidR="00C96D22" w:rsidRPr="00F14B34">
        <w:t xml:space="preserve"> </w:t>
      </w:r>
      <w:r w:rsidR="00FA5263" w:rsidRPr="00F14B34">
        <w:t>a suitable code</w:t>
      </w:r>
      <w:r w:rsidR="00C96D22" w:rsidRPr="00F14B34">
        <w:t>.</w:t>
      </w:r>
      <w:r w:rsidR="00476356">
        <w:t xml:space="preserve"> </w:t>
      </w:r>
    </w:p>
    <w:p w14:paraId="69014B1D" w14:textId="5A90A640" w:rsidR="00204297" w:rsidRPr="00F14B34" w:rsidRDefault="00AB5A5B" w:rsidP="004C045F">
      <w:pPr>
        <w:spacing w:line="480" w:lineRule="auto"/>
        <w:ind w:firstLine="720"/>
      </w:pPr>
      <w:r w:rsidRPr="009B686A">
        <w:rPr>
          <w:lang w:val="en-US"/>
        </w:rPr>
        <w:t xml:space="preserve">The full </w:t>
      </w:r>
      <w:r w:rsidR="00483745" w:rsidRPr="009B686A">
        <w:rPr>
          <w:lang w:val="en-US"/>
        </w:rPr>
        <w:t xml:space="preserve">descriptive </w:t>
      </w:r>
      <w:r w:rsidRPr="009B686A">
        <w:rPr>
          <w:lang w:val="en-US"/>
        </w:rPr>
        <w:t xml:space="preserve">coding manual, including </w:t>
      </w:r>
      <w:r w:rsidR="00F1559E" w:rsidRPr="009B686A">
        <w:rPr>
          <w:lang w:val="en-US"/>
        </w:rPr>
        <w:t xml:space="preserve">a </w:t>
      </w:r>
      <w:r w:rsidRPr="009B686A">
        <w:rPr>
          <w:lang w:val="en-US"/>
        </w:rPr>
        <w:t>complete list of procedures,</w:t>
      </w:r>
      <w:r w:rsidR="0029359A" w:rsidRPr="009B686A">
        <w:rPr>
          <w:lang w:val="en-US"/>
        </w:rPr>
        <w:t xml:space="preserve"> general</w:t>
      </w:r>
      <w:r w:rsidR="00F1559E" w:rsidRPr="009B686A">
        <w:rPr>
          <w:lang w:val="en-US"/>
        </w:rPr>
        <w:t xml:space="preserve">, </w:t>
      </w:r>
      <w:r w:rsidR="0029359A" w:rsidRPr="009B686A">
        <w:rPr>
          <w:lang w:val="en-US"/>
        </w:rPr>
        <w:t>variable</w:t>
      </w:r>
      <w:r w:rsidR="00F1559E" w:rsidRPr="009B686A">
        <w:rPr>
          <w:lang w:val="en-US"/>
        </w:rPr>
        <w:t>, and category</w:t>
      </w:r>
      <w:r w:rsidR="004C4A9E" w:rsidRPr="009B686A">
        <w:rPr>
          <w:lang w:val="en-US"/>
        </w:rPr>
        <w:t>-</w:t>
      </w:r>
      <w:r w:rsidR="0029359A" w:rsidRPr="009B686A">
        <w:rPr>
          <w:lang w:val="en-US"/>
        </w:rPr>
        <w:t>specific directions</w:t>
      </w:r>
      <w:r w:rsidR="00FF2A2B" w:rsidRPr="009B686A">
        <w:rPr>
          <w:lang w:val="en-US"/>
        </w:rPr>
        <w:t>,</w:t>
      </w:r>
      <w:r w:rsidRPr="009B686A">
        <w:rPr>
          <w:lang w:val="en-US"/>
        </w:rPr>
        <w:t xml:space="preserve"> all descriptive variables measured in this review</w:t>
      </w:r>
      <w:r w:rsidR="00FF2A2B" w:rsidRPr="009B686A">
        <w:rPr>
          <w:lang w:val="en-US"/>
        </w:rPr>
        <w:t>,</w:t>
      </w:r>
      <w:r w:rsidRPr="009B686A">
        <w:rPr>
          <w:lang w:val="en-US"/>
        </w:rPr>
        <w:t xml:space="preserve"> and </w:t>
      </w:r>
      <w:r w:rsidRPr="009B686A">
        <w:rPr>
          <w:lang w:val="en-US"/>
        </w:rPr>
        <w:lastRenderedPageBreak/>
        <w:t xml:space="preserve">all of their operational definitions, examples, and non-examples, is available in supplemental materials found on Open Science Framework (OSF): </w:t>
      </w:r>
      <w:hyperlink r:id="rId9">
        <w:r w:rsidRPr="009B686A">
          <w:rPr>
            <w:rStyle w:val="Hyperlink"/>
            <w:color w:val="auto"/>
            <w:lang w:val="en-US"/>
          </w:rPr>
          <w:t>https://justman.fyi/PDonETinSPED-Review</w:t>
        </w:r>
      </w:hyperlink>
      <w:r w:rsidRPr="009B686A">
        <w:rPr>
          <w:lang w:val="en-US"/>
        </w:rPr>
        <w:t>.</w:t>
      </w:r>
    </w:p>
    <w:p w14:paraId="20B41B0D" w14:textId="77777777" w:rsidR="0071613F" w:rsidRPr="00F14B34" w:rsidRDefault="0071613F" w:rsidP="00E0546B">
      <w:pPr>
        <w:pStyle w:val="Heading3"/>
        <w:spacing w:line="480" w:lineRule="auto"/>
      </w:pPr>
      <w:r w:rsidRPr="00F14B34">
        <w:t>Unit of Analysis</w:t>
      </w:r>
    </w:p>
    <w:p w14:paraId="05A09775" w14:textId="7C957844" w:rsidR="0071613F" w:rsidRPr="00F14B34" w:rsidRDefault="00C60C39" w:rsidP="00E0546B">
      <w:pPr>
        <w:spacing w:line="480" w:lineRule="auto"/>
        <w:ind w:firstLine="720"/>
        <w:rPr>
          <w:b/>
          <w:bCs/>
          <w:i/>
          <w:iCs/>
        </w:rPr>
      </w:pPr>
      <w:r>
        <w:t>We examined</w:t>
      </w:r>
      <w:r w:rsidR="00C328F9">
        <w:t xml:space="preserve"> </w:t>
      </w:r>
      <w:r>
        <w:t>a</w:t>
      </w:r>
      <w:r w:rsidR="0071613F" w:rsidRPr="00F14B34">
        <w:t xml:space="preserve">rticles </w:t>
      </w:r>
      <w:r>
        <w:t>in which authors used group design</w:t>
      </w:r>
      <w:r w:rsidR="00C328F9">
        <w:t xml:space="preserve"> methodologies</w:t>
      </w:r>
      <w:r>
        <w:t xml:space="preserve"> (e.g., randomized controlled trials or quasi-experimental) </w:t>
      </w:r>
      <w:r w:rsidR="001516B9">
        <w:t xml:space="preserve">as well as ones </w:t>
      </w:r>
      <w:r w:rsidR="00CA709A">
        <w:t>that</w:t>
      </w:r>
      <w:r w:rsidR="001516B9">
        <w:t xml:space="preserve"> employed participant</w:t>
      </w:r>
      <w:r w:rsidR="00CA709A">
        <w:t>-</w:t>
      </w:r>
      <w:r w:rsidR="001516B9">
        <w:t>level qualitative case-study methodologies. In the former, we used</w:t>
      </w:r>
      <w:r>
        <w:t xml:space="preserve"> the entire article as the unit of analysis. In</w:t>
      </w:r>
      <w:r w:rsidR="00483A33" w:rsidRPr="00F14B34">
        <w:t xml:space="preserve"> these </w:t>
      </w:r>
      <w:r w:rsidR="00B36DE1" w:rsidRPr="00F14B34">
        <w:t>articles</w:t>
      </w:r>
      <w:r w:rsidR="00483A33" w:rsidRPr="00F14B34">
        <w:t xml:space="preserve">, </w:t>
      </w:r>
      <w:r w:rsidR="00CA7AA3" w:rsidRPr="00F14B34">
        <w:t xml:space="preserve">variables </w:t>
      </w:r>
      <w:r w:rsidR="00B4374E" w:rsidRPr="00F14B34">
        <w:t xml:space="preserve">and their categorical or dichotomous data </w:t>
      </w:r>
      <w:r w:rsidR="00CA7AA3" w:rsidRPr="00F14B34">
        <w:t xml:space="preserve">were coded </w:t>
      </w:r>
      <w:r w:rsidR="001516B9">
        <w:t>to</w:t>
      </w:r>
      <w:r w:rsidR="00CA7AA3" w:rsidRPr="00F14B34">
        <w:t xml:space="preserve"> </w:t>
      </w:r>
      <w:r w:rsidR="00BB1D76" w:rsidRPr="00F14B34">
        <w:t xml:space="preserve">the mean </w:t>
      </w:r>
      <m:oMath>
        <m:r>
          <w:rPr>
            <w:rFonts w:ascii="Cambria Math" w:hAnsi="Cambria Math"/>
          </w:rPr>
          <m:t>(x̄)</m:t>
        </m:r>
      </m:oMath>
      <w:r w:rsidR="00DE4C76" w:rsidRPr="00F14B34">
        <w:t xml:space="preserve"> </w:t>
      </w:r>
      <w:r w:rsidR="00CA7AA3" w:rsidRPr="00F14B34">
        <w:t>across author-reported data</w:t>
      </w:r>
      <w:r w:rsidR="009E57B9" w:rsidRPr="00F14B34">
        <w:t xml:space="preserve"> using the formula</w:t>
      </w:r>
      <w:r>
        <w:rPr>
          <w:i/>
          <w:iCs/>
        </w:rPr>
        <w:t xml:space="preserve"> </w:t>
      </w:r>
      <m:oMath>
        <m:r>
          <w:rPr>
            <w:rFonts w:ascii="Cambria Math" w:hAnsi="Cambria Math"/>
          </w:rPr>
          <m:t>(∑</m:t>
        </m:r>
        <m:sSub>
          <m:sSubPr>
            <m:ctrlPr>
              <w:rPr>
                <w:rFonts w:ascii="Cambria Math" w:hAnsi="Cambria Math"/>
                <w:i/>
                <w:iCs/>
              </w:rPr>
            </m:ctrlPr>
          </m:sSubPr>
          <m:e>
            <m:r>
              <m:rPr>
                <m:scr m:val="script"/>
              </m:rPr>
              <w:rPr>
                <w:rFonts w:ascii="Cambria Math" w:hAnsi="Cambria Math"/>
              </w:rPr>
              <m:t>X</m:t>
            </m:r>
          </m:e>
          <m:sub>
            <m:r>
              <w:rPr>
                <w:rFonts w:ascii="Cambria Math" w:hAnsi="Cambria Math"/>
              </w:rPr>
              <m:t>i</m:t>
            </m:r>
          </m:sub>
        </m:sSub>
        <m:r>
          <w:rPr>
            <w:rFonts w:ascii="Cambria Math" w:hAnsi="Cambria Math"/>
          </w:rPr>
          <m:t>) / n</m:t>
        </m:r>
      </m:oMath>
      <w:r w:rsidR="00DF11D8">
        <w:rPr>
          <w:i/>
          <w:iCs/>
        </w:rPr>
        <w:t>.</w:t>
      </w:r>
      <w:r w:rsidR="00F242DE">
        <w:rPr>
          <w:i/>
          <w:iCs/>
        </w:rPr>
        <w:t xml:space="preserve"> </w:t>
      </w:r>
      <w:r w:rsidR="002D0938" w:rsidRPr="002D0938">
        <w:t xml:space="preserve">For articles employing </w:t>
      </w:r>
      <w:r w:rsidR="00FD759E">
        <w:t xml:space="preserve">case-study </w:t>
      </w:r>
      <w:r w:rsidR="00F242DE">
        <w:t>designs</w:t>
      </w:r>
      <w:r w:rsidR="00FD759E">
        <w:t>,</w:t>
      </w:r>
      <w:r w:rsidR="002D0938" w:rsidRPr="002D0938">
        <w:t xml:space="preserve"> the unit of analysis for study design was the entire article</w:t>
      </w:r>
      <w:r w:rsidR="00DF11D8">
        <w:t xml:space="preserve">. </w:t>
      </w:r>
      <w:r w:rsidR="00F242DE">
        <w:t>I</w:t>
      </w:r>
      <w:r w:rsidR="002D0938" w:rsidRPr="002D0938">
        <w:t xml:space="preserve">ndividual participants served as the unit of analysis for </w:t>
      </w:r>
      <w:r w:rsidR="002D0938" w:rsidRPr="00F14B34">
        <w:t xml:space="preserve">all remaining </w:t>
      </w:r>
      <w:r w:rsidR="002D0938" w:rsidRPr="002D0938">
        <w:t>descriptive variables. This approach allowed for a detailed examination of participant-level data across studies.</w:t>
      </w:r>
    </w:p>
    <w:p w14:paraId="13200F68" w14:textId="521EAFD5" w:rsidR="00AB5A5B" w:rsidRPr="00F14B34" w:rsidRDefault="008F7E8E" w:rsidP="00E0546B">
      <w:pPr>
        <w:pStyle w:val="Heading3"/>
        <w:spacing w:line="480" w:lineRule="auto"/>
      </w:pPr>
      <w:r>
        <w:t>Research</w:t>
      </w:r>
      <w:r w:rsidR="00AB5A5B" w:rsidRPr="00F14B34">
        <w:t xml:space="preserve"> Design</w:t>
      </w:r>
    </w:p>
    <w:p w14:paraId="4FFBBA88" w14:textId="326E3A67" w:rsidR="00AB5A5B" w:rsidRPr="00F14B34" w:rsidRDefault="00AB5A5B" w:rsidP="00E0546B">
      <w:pPr>
        <w:spacing w:line="480" w:lineRule="auto"/>
        <w:ind w:firstLine="720"/>
      </w:pPr>
      <w:r w:rsidRPr="009B686A">
        <w:rPr>
          <w:lang w:val="en-US"/>
        </w:rPr>
        <w:t xml:space="preserve">We narratively coded the </w:t>
      </w:r>
      <w:r w:rsidR="0071613F" w:rsidRPr="009B686A">
        <w:rPr>
          <w:lang w:val="en-US"/>
        </w:rPr>
        <w:t xml:space="preserve">research </w:t>
      </w:r>
      <w:r w:rsidRPr="009B686A">
        <w:rPr>
          <w:lang w:val="en-US"/>
        </w:rPr>
        <w:t>design</w:t>
      </w:r>
      <w:r w:rsidR="0071613F" w:rsidRPr="009B686A">
        <w:rPr>
          <w:lang w:val="en-US"/>
        </w:rPr>
        <w:t xml:space="preserve"> in each article</w:t>
      </w:r>
      <w:r w:rsidRPr="009B686A">
        <w:rPr>
          <w:lang w:val="en-US"/>
        </w:rPr>
        <w:t xml:space="preserve"> as reported by </w:t>
      </w:r>
      <w:r w:rsidR="00823B88" w:rsidRPr="009B686A">
        <w:rPr>
          <w:lang w:val="en-US"/>
        </w:rPr>
        <w:t xml:space="preserve">the </w:t>
      </w:r>
      <w:r w:rsidR="0071613F" w:rsidRPr="009B686A">
        <w:rPr>
          <w:lang w:val="en-US"/>
        </w:rPr>
        <w:t xml:space="preserve">study </w:t>
      </w:r>
      <w:r w:rsidRPr="009B686A">
        <w:rPr>
          <w:lang w:val="en-US"/>
        </w:rPr>
        <w:t>authors</w:t>
      </w:r>
      <w:r w:rsidR="0071613F" w:rsidRPr="009B686A">
        <w:rPr>
          <w:lang w:val="en-US"/>
        </w:rPr>
        <w:t>.</w:t>
      </w:r>
      <w:r w:rsidRPr="009B686A">
        <w:rPr>
          <w:lang w:val="en-US"/>
        </w:rPr>
        <w:t xml:space="preserve"> </w:t>
      </w:r>
      <w:r w:rsidR="0071613F" w:rsidRPr="009B686A">
        <w:rPr>
          <w:lang w:val="en-US"/>
        </w:rPr>
        <w:t xml:space="preserve">Examples include </w:t>
      </w:r>
      <w:r w:rsidR="00F613F4" w:rsidRPr="009B686A">
        <w:rPr>
          <w:lang w:val="en-US"/>
        </w:rPr>
        <w:t>a mixture of group and case</w:t>
      </w:r>
      <w:r w:rsidR="00F242DE">
        <w:rPr>
          <w:lang w:val="en-US"/>
        </w:rPr>
        <w:t>-study</w:t>
      </w:r>
      <w:r w:rsidR="00D35F17">
        <w:rPr>
          <w:lang w:val="en-US"/>
        </w:rPr>
        <w:t xml:space="preserve"> designs and methods</w:t>
      </w:r>
      <w:r w:rsidR="008F7E8E">
        <w:rPr>
          <w:lang w:val="en-US"/>
        </w:rPr>
        <w:t xml:space="preserve"> </w:t>
      </w:r>
      <w:proofErr w:type="gramStart"/>
      <w:r w:rsidR="008F7E8E">
        <w:rPr>
          <w:lang w:val="en-US"/>
        </w:rPr>
        <w:t>in order to</w:t>
      </w:r>
      <w:proofErr w:type="gramEnd"/>
      <w:r w:rsidR="008F7E8E">
        <w:rPr>
          <w:lang w:val="en-US"/>
        </w:rPr>
        <w:t xml:space="preserve"> better determine the unit of analysis in each article</w:t>
      </w:r>
      <w:r w:rsidRPr="009B686A">
        <w:rPr>
          <w:lang w:val="en-US"/>
        </w:rPr>
        <w:t xml:space="preserve">. </w:t>
      </w:r>
      <w:r w:rsidR="00823B88" w:rsidRPr="009B686A">
        <w:rPr>
          <w:lang w:val="en-US"/>
        </w:rPr>
        <w:t>We narratively coded the</w:t>
      </w:r>
      <w:r w:rsidR="00EB7325" w:rsidRPr="009B686A">
        <w:rPr>
          <w:lang w:val="en-US"/>
        </w:rPr>
        <w:t xml:space="preserve"> r</w:t>
      </w:r>
      <w:r w:rsidR="001325E6" w:rsidRPr="009B686A">
        <w:rPr>
          <w:lang w:val="en-US"/>
        </w:rPr>
        <w:t xml:space="preserve">esearch </w:t>
      </w:r>
      <w:r w:rsidR="00EB7325" w:rsidRPr="009B686A">
        <w:rPr>
          <w:lang w:val="en-US"/>
        </w:rPr>
        <w:t>m</w:t>
      </w:r>
      <w:r w:rsidR="0071613F" w:rsidRPr="009B686A">
        <w:rPr>
          <w:lang w:val="en-US"/>
        </w:rPr>
        <w:t>ethod</w:t>
      </w:r>
      <w:r w:rsidR="008F7E8E">
        <w:rPr>
          <w:lang w:val="en-US"/>
        </w:rPr>
        <w:t>ologies</w:t>
      </w:r>
      <w:r w:rsidR="0071613F" w:rsidRPr="009B686A">
        <w:rPr>
          <w:lang w:val="en-US"/>
        </w:rPr>
        <w:t xml:space="preserve"> used in each study (i.e.</w:t>
      </w:r>
      <w:r w:rsidR="00A51F8C" w:rsidRPr="009B686A">
        <w:rPr>
          <w:lang w:val="en-US"/>
        </w:rPr>
        <w:t>,</w:t>
      </w:r>
      <w:r w:rsidR="0071613F" w:rsidRPr="009B686A">
        <w:rPr>
          <w:lang w:val="en-US"/>
        </w:rPr>
        <w:t xml:space="preserve"> interviews, surveys, and observations)</w:t>
      </w:r>
      <w:r w:rsidR="00823B88" w:rsidRPr="009B686A">
        <w:rPr>
          <w:lang w:val="en-US"/>
        </w:rPr>
        <w:t>.</w:t>
      </w:r>
    </w:p>
    <w:p w14:paraId="072FE4A0" w14:textId="77777777" w:rsidR="00AB5A5B" w:rsidRPr="00F14B34" w:rsidRDefault="00AB5A5B" w:rsidP="00E0546B">
      <w:pPr>
        <w:pStyle w:val="Heading3"/>
        <w:spacing w:line="480" w:lineRule="auto"/>
      </w:pPr>
      <w:r w:rsidRPr="00F14B34">
        <w:t>Participants</w:t>
      </w:r>
    </w:p>
    <w:p w14:paraId="3F128444" w14:textId="466CBF4B" w:rsidR="00F14B34" w:rsidRPr="003C7385" w:rsidRDefault="008F7E8E" w:rsidP="009B686A">
      <w:pPr>
        <w:spacing w:line="480" w:lineRule="auto"/>
        <w:ind w:firstLine="720"/>
        <w:rPr>
          <w:rStyle w:val="CommentReference"/>
          <w:sz w:val="24"/>
          <w:szCs w:val="24"/>
          <w:lang w:val="en-US"/>
        </w:rPr>
      </w:pPr>
      <w:r w:rsidRPr="008F7E8E">
        <w:rPr>
          <w:b/>
          <w:bCs/>
          <w:lang w:val="en-US"/>
        </w:rPr>
        <w:t xml:space="preserve">Demographics. </w:t>
      </w:r>
      <w:r w:rsidR="00ED0E86" w:rsidRPr="009B686A">
        <w:rPr>
          <w:lang w:val="en-US"/>
        </w:rPr>
        <w:t>In single</w:t>
      </w:r>
      <w:r w:rsidR="00823B88" w:rsidRPr="009B686A">
        <w:rPr>
          <w:lang w:val="en-US"/>
        </w:rPr>
        <w:t>-</w:t>
      </w:r>
      <w:r w:rsidR="00ED0E86" w:rsidRPr="009B686A">
        <w:rPr>
          <w:lang w:val="en-US"/>
        </w:rPr>
        <w:t xml:space="preserve">case designs, </w:t>
      </w:r>
      <w:r w:rsidR="00823B88" w:rsidRPr="009B686A">
        <w:rPr>
          <w:lang w:val="en-US"/>
        </w:rPr>
        <w:t xml:space="preserve">we </w:t>
      </w:r>
      <w:r w:rsidR="00837B75" w:rsidRPr="009B686A">
        <w:rPr>
          <w:lang w:val="en-US"/>
        </w:rPr>
        <w:t xml:space="preserve">coded </w:t>
      </w:r>
      <w:r w:rsidR="00823B88" w:rsidRPr="009B686A">
        <w:rPr>
          <w:lang w:val="en-US"/>
        </w:rPr>
        <w:t xml:space="preserve">individual variables </w:t>
      </w:r>
      <w:r w:rsidR="00AB5A5B" w:rsidRPr="009B686A">
        <w:rPr>
          <w:lang w:val="en-US"/>
        </w:rPr>
        <w:t xml:space="preserve">to gain insight into demographics, roles, and PD/ET backgrounds of </w:t>
      </w:r>
      <w:r w:rsidR="005A5A9F" w:rsidRPr="009B686A">
        <w:rPr>
          <w:lang w:val="en-US"/>
        </w:rPr>
        <w:t xml:space="preserve">each </w:t>
      </w:r>
      <w:r w:rsidR="00EB7325" w:rsidRPr="009B686A">
        <w:rPr>
          <w:lang w:val="en-US"/>
        </w:rPr>
        <w:t>participant</w:t>
      </w:r>
      <w:r w:rsidR="005A5A9F" w:rsidRPr="009B686A">
        <w:rPr>
          <w:lang w:val="en-US"/>
        </w:rPr>
        <w:t>.</w:t>
      </w:r>
      <w:r w:rsidR="00AB5A5B" w:rsidRPr="009B686A">
        <w:rPr>
          <w:lang w:val="en-US"/>
        </w:rPr>
        <w:t xml:space="preserve"> </w:t>
      </w:r>
      <w:r w:rsidR="00CA53C8" w:rsidRPr="009B686A">
        <w:rPr>
          <w:lang w:val="en-US"/>
        </w:rPr>
        <w:t xml:space="preserve">In group designs, </w:t>
      </w:r>
      <w:r w:rsidR="00823B88" w:rsidRPr="009B686A">
        <w:rPr>
          <w:lang w:val="en-US"/>
        </w:rPr>
        <w:t xml:space="preserve">we coded </w:t>
      </w:r>
      <w:r w:rsidR="00CA53C8" w:rsidRPr="009B686A">
        <w:rPr>
          <w:lang w:val="en-US"/>
        </w:rPr>
        <w:t xml:space="preserve">participant </w:t>
      </w:r>
      <w:r w:rsidR="00405EFF" w:rsidRPr="009B686A">
        <w:rPr>
          <w:lang w:val="en-US"/>
        </w:rPr>
        <w:t xml:space="preserve">variables </w:t>
      </w:r>
      <w:r w:rsidR="00527AC3" w:rsidRPr="009B686A">
        <w:rPr>
          <w:lang w:val="en-US"/>
        </w:rPr>
        <w:t>to the mean</w:t>
      </w:r>
      <w:r w:rsidR="0050536E" w:rsidRPr="009B686A">
        <w:rPr>
          <w:lang w:val="en-US"/>
        </w:rPr>
        <w:t>,</w:t>
      </w:r>
      <w:r w:rsidR="009E4DB7" w:rsidRPr="009B686A">
        <w:rPr>
          <w:lang w:val="en-US"/>
        </w:rPr>
        <w:t xml:space="preserve"> </w:t>
      </w:r>
      <w:r w:rsidR="00D273F4" w:rsidRPr="009B686A">
        <w:rPr>
          <w:lang w:val="en-US"/>
        </w:rPr>
        <w:t>as</w:t>
      </w:r>
      <w:r w:rsidR="009E4DB7" w:rsidRPr="009B686A">
        <w:rPr>
          <w:lang w:val="en-US"/>
        </w:rPr>
        <w:t xml:space="preserve"> </w:t>
      </w:r>
      <w:r w:rsidR="00D273F4" w:rsidRPr="009B686A">
        <w:rPr>
          <w:lang w:val="en-US"/>
        </w:rPr>
        <w:t>reported</w:t>
      </w:r>
      <w:r w:rsidR="009E4DB7" w:rsidRPr="009B686A">
        <w:rPr>
          <w:lang w:val="en-US"/>
        </w:rPr>
        <w:t xml:space="preserve"> by </w:t>
      </w:r>
      <w:r w:rsidR="00823B88" w:rsidRPr="009B686A">
        <w:rPr>
          <w:lang w:val="en-US"/>
        </w:rPr>
        <w:t xml:space="preserve">the </w:t>
      </w:r>
      <w:r w:rsidR="009E4DB7" w:rsidRPr="009B686A">
        <w:rPr>
          <w:lang w:val="en-US"/>
        </w:rPr>
        <w:t xml:space="preserve">study authors. </w:t>
      </w:r>
      <w:r w:rsidR="00823B88" w:rsidRPr="009B686A">
        <w:rPr>
          <w:lang w:val="en-US"/>
        </w:rPr>
        <w:t>We coded p</w:t>
      </w:r>
      <w:r w:rsidR="002D687A" w:rsidRPr="009B686A">
        <w:rPr>
          <w:lang w:val="en-US"/>
        </w:rPr>
        <w:t>articipant characteristic</w:t>
      </w:r>
      <w:r w:rsidR="004C538D" w:rsidRPr="009B686A">
        <w:rPr>
          <w:lang w:val="en-US"/>
        </w:rPr>
        <w:t xml:space="preserve"> </w:t>
      </w:r>
      <w:r w:rsidR="00641352" w:rsidRPr="009B686A">
        <w:rPr>
          <w:lang w:val="en-US"/>
        </w:rPr>
        <w:t>variables</w:t>
      </w:r>
      <w:r w:rsidR="002D687A" w:rsidRPr="009B686A">
        <w:rPr>
          <w:lang w:val="en-US"/>
        </w:rPr>
        <w:t xml:space="preserve"> </w:t>
      </w:r>
      <w:r w:rsidR="00503CF9" w:rsidRPr="009B686A">
        <w:rPr>
          <w:lang w:val="en-US"/>
        </w:rPr>
        <w:t>by selecting from a drop</w:t>
      </w:r>
      <w:r w:rsidR="0050536E" w:rsidRPr="009B686A">
        <w:rPr>
          <w:lang w:val="en-US"/>
        </w:rPr>
        <w:t>-</w:t>
      </w:r>
      <w:r w:rsidR="00503CF9" w:rsidRPr="009B686A">
        <w:rPr>
          <w:lang w:val="en-US"/>
        </w:rPr>
        <w:t>down</w:t>
      </w:r>
      <w:r w:rsidR="00AC2484" w:rsidRPr="009B686A">
        <w:rPr>
          <w:lang w:val="en-US"/>
        </w:rPr>
        <w:t xml:space="preserve"> menu of </w:t>
      </w:r>
      <w:r w:rsidR="00641352" w:rsidRPr="009B686A">
        <w:rPr>
          <w:lang w:val="en-US"/>
        </w:rPr>
        <w:t>values</w:t>
      </w:r>
      <w:r w:rsidR="003927E5" w:rsidRPr="009B686A">
        <w:rPr>
          <w:lang w:val="en-US"/>
        </w:rPr>
        <w:t>,</w:t>
      </w:r>
      <w:r w:rsidR="00641352" w:rsidRPr="009B686A">
        <w:rPr>
          <w:lang w:val="en-US"/>
        </w:rPr>
        <w:t xml:space="preserve"> </w:t>
      </w:r>
      <w:r w:rsidR="002D0938" w:rsidRPr="009B686A">
        <w:rPr>
          <w:lang w:val="en-US"/>
        </w:rPr>
        <w:t>which could</w:t>
      </w:r>
      <w:r w:rsidR="00641352" w:rsidRPr="009B686A">
        <w:rPr>
          <w:lang w:val="en-US"/>
        </w:rPr>
        <w:t xml:space="preserve"> be entered as a</w:t>
      </w:r>
      <w:r w:rsidR="000F5C4F" w:rsidRPr="009B686A">
        <w:rPr>
          <w:lang w:val="en-US"/>
        </w:rPr>
        <w:t xml:space="preserve"> narrative</w:t>
      </w:r>
      <w:r w:rsidR="00503527" w:rsidRPr="009B686A">
        <w:rPr>
          <w:lang w:val="en-US"/>
        </w:rPr>
        <w:t xml:space="preserve"> </w:t>
      </w:r>
      <w:r w:rsidR="000F5C4F" w:rsidRPr="009B686A">
        <w:rPr>
          <w:lang w:val="en-US"/>
        </w:rPr>
        <w:t>descri</w:t>
      </w:r>
      <w:r w:rsidR="00794E31" w:rsidRPr="009B686A">
        <w:rPr>
          <w:lang w:val="en-US"/>
        </w:rPr>
        <w:t>ption</w:t>
      </w:r>
      <w:r w:rsidR="00557306" w:rsidRPr="009B686A">
        <w:rPr>
          <w:lang w:val="en-US"/>
        </w:rPr>
        <w:t xml:space="preserve"> </w:t>
      </w:r>
      <w:r w:rsidR="000B0209">
        <w:rPr>
          <w:lang w:val="en-US"/>
        </w:rPr>
        <w:t xml:space="preserve">to </w:t>
      </w:r>
      <w:r w:rsidR="00503527" w:rsidRPr="009B686A">
        <w:rPr>
          <w:lang w:val="en-US"/>
        </w:rPr>
        <w:t xml:space="preserve">allow for </w:t>
      </w:r>
      <w:r w:rsidR="001370BF" w:rsidRPr="009B686A">
        <w:rPr>
          <w:lang w:val="en-US"/>
        </w:rPr>
        <w:t>a</w:t>
      </w:r>
      <w:r w:rsidR="000C1360" w:rsidRPr="009B686A">
        <w:rPr>
          <w:lang w:val="en-US"/>
        </w:rPr>
        <w:t xml:space="preserve"> </w:t>
      </w:r>
      <w:r w:rsidR="00611FC0" w:rsidRPr="009B686A">
        <w:rPr>
          <w:lang w:val="en-US"/>
        </w:rPr>
        <w:t>complete</w:t>
      </w:r>
      <w:r w:rsidR="00503527" w:rsidRPr="009B686A">
        <w:rPr>
          <w:lang w:val="en-US"/>
        </w:rPr>
        <w:t xml:space="preserve"> representation</w:t>
      </w:r>
      <w:r w:rsidR="0051786E" w:rsidRPr="009B686A">
        <w:rPr>
          <w:lang w:val="en-US"/>
        </w:rPr>
        <w:t xml:space="preserve"> of participant identities as </w:t>
      </w:r>
      <w:r w:rsidR="0051786E" w:rsidRPr="009B686A">
        <w:rPr>
          <w:lang w:val="en-US"/>
        </w:rPr>
        <w:lastRenderedPageBreak/>
        <w:t xml:space="preserve">reported by </w:t>
      </w:r>
      <w:r w:rsidR="00823B88" w:rsidRPr="009B686A">
        <w:rPr>
          <w:lang w:val="en-US"/>
        </w:rPr>
        <w:t xml:space="preserve">the </w:t>
      </w:r>
      <w:r w:rsidR="0051786E" w:rsidRPr="009B686A">
        <w:rPr>
          <w:lang w:val="en-US"/>
        </w:rPr>
        <w:t>study authors</w:t>
      </w:r>
      <w:r w:rsidR="000F5C4F" w:rsidRPr="009B686A">
        <w:rPr>
          <w:lang w:val="en-US"/>
        </w:rPr>
        <w:t>.</w:t>
      </w:r>
      <w:r w:rsidR="00794E31" w:rsidRPr="009B686A">
        <w:rPr>
          <w:lang w:val="en-US"/>
        </w:rPr>
        <w:t xml:space="preserve"> </w:t>
      </w:r>
      <w:r w:rsidR="0051786E" w:rsidRPr="009B686A">
        <w:rPr>
          <w:lang w:val="en-US"/>
        </w:rPr>
        <w:t>Variables</w:t>
      </w:r>
      <w:r w:rsidR="00AB5A5B" w:rsidRPr="009B686A">
        <w:rPr>
          <w:lang w:val="en-US"/>
        </w:rPr>
        <w:t xml:space="preserve"> included age</w:t>
      </w:r>
      <w:r w:rsidR="00154D83" w:rsidRPr="009B686A">
        <w:rPr>
          <w:lang w:val="en-US"/>
        </w:rPr>
        <w:t xml:space="preserve"> (</w:t>
      </w:r>
      <w:r w:rsidR="001370BF" w:rsidRPr="009B686A">
        <w:rPr>
          <w:lang w:val="en-US"/>
        </w:rPr>
        <w:t>ordinal</w:t>
      </w:r>
      <w:r w:rsidR="004C0B77" w:rsidRPr="009B686A">
        <w:rPr>
          <w:lang w:val="en-US"/>
        </w:rPr>
        <w:t>)</w:t>
      </w:r>
      <w:r w:rsidR="00AB5A5B" w:rsidRPr="009B686A">
        <w:rPr>
          <w:lang w:val="en-US"/>
        </w:rPr>
        <w:t>, gender</w:t>
      </w:r>
      <w:r w:rsidR="00D1153A" w:rsidRPr="009B686A">
        <w:rPr>
          <w:lang w:val="en-US"/>
        </w:rPr>
        <w:t xml:space="preserve"> </w:t>
      </w:r>
      <w:r w:rsidR="00BC06A8" w:rsidRPr="009B686A">
        <w:rPr>
          <w:lang w:val="en-US"/>
        </w:rPr>
        <w:t>(</w:t>
      </w:r>
      <w:r w:rsidR="0082237D" w:rsidRPr="009B686A">
        <w:rPr>
          <w:lang w:val="en-US"/>
        </w:rPr>
        <w:t>nominal</w:t>
      </w:r>
      <w:r w:rsidR="00663682" w:rsidRPr="009B686A">
        <w:rPr>
          <w:lang w:val="en-US"/>
        </w:rPr>
        <w:t>, narrative</w:t>
      </w:r>
      <w:r w:rsidR="000C1360" w:rsidRPr="009B686A">
        <w:rPr>
          <w:lang w:val="en-US"/>
        </w:rPr>
        <w:t xml:space="preserve"> </w:t>
      </w:r>
      <w:r w:rsidR="003B456E" w:rsidRPr="009B686A">
        <w:rPr>
          <w:lang w:val="en-US"/>
        </w:rPr>
        <w:t>possibility</w:t>
      </w:r>
      <w:r w:rsidR="0082237D" w:rsidRPr="009B686A">
        <w:rPr>
          <w:lang w:val="en-US"/>
        </w:rPr>
        <w:t>)</w:t>
      </w:r>
      <w:r w:rsidR="00AB5A5B" w:rsidRPr="009B686A">
        <w:rPr>
          <w:lang w:val="en-US"/>
        </w:rPr>
        <w:t>, race</w:t>
      </w:r>
      <w:r w:rsidR="0082237D" w:rsidRPr="009B686A">
        <w:rPr>
          <w:lang w:val="en-US"/>
        </w:rPr>
        <w:t xml:space="preserve"> </w:t>
      </w:r>
      <w:r w:rsidR="005C6EB5" w:rsidRPr="009B686A">
        <w:rPr>
          <w:lang w:val="en-US"/>
        </w:rPr>
        <w:t>(nominal</w:t>
      </w:r>
      <w:r w:rsidR="00663682" w:rsidRPr="009B686A">
        <w:rPr>
          <w:lang w:val="en-US"/>
        </w:rPr>
        <w:t>, multiple response</w:t>
      </w:r>
      <w:r w:rsidR="00CD46D4" w:rsidRPr="009B686A">
        <w:rPr>
          <w:lang w:val="en-US"/>
        </w:rPr>
        <w:t>,</w:t>
      </w:r>
      <w:r w:rsidR="00663682" w:rsidRPr="009B686A">
        <w:rPr>
          <w:lang w:val="en-US"/>
        </w:rPr>
        <w:t xml:space="preserve"> and narrative</w:t>
      </w:r>
      <w:r w:rsidR="00CD46D4" w:rsidRPr="009B686A">
        <w:rPr>
          <w:lang w:val="en-US"/>
        </w:rPr>
        <w:t xml:space="preserve"> option</w:t>
      </w:r>
      <w:r w:rsidR="005C6EB5" w:rsidRPr="009B686A">
        <w:rPr>
          <w:lang w:val="en-US"/>
        </w:rPr>
        <w:t>)</w:t>
      </w:r>
      <w:r w:rsidR="00AB5A5B" w:rsidRPr="009B686A">
        <w:rPr>
          <w:lang w:val="en-US"/>
        </w:rPr>
        <w:t>, sexual orientation</w:t>
      </w:r>
      <w:r w:rsidR="00FC2D01" w:rsidRPr="009B686A">
        <w:rPr>
          <w:lang w:val="en-US"/>
        </w:rPr>
        <w:t xml:space="preserve"> (nominal</w:t>
      </w:r>
      <w:r w:rsidR="0011162F" w:rsidRPr="009B686A">
        <w:rPr>
          <w:lang w:val="en-US"/>
        </w:rPr>
        <w:t>, narrative</w:t>
      </w:r>
      <w:r w:rsidR="00CD46D4" w:rsidRPr="009B686A">
        <w:rPr>
          <w:lang w:val="en-US"/>
        </w:rPr>
        <w:t xml:space="preserve"> option</w:t>
      </w:r>
      <w:r w:rsidR="00AD15C7" w:rsidRPr="009B686A">
        <w:rPr>
          <w:lang w:val="en-US"/>
        </w:rPr>
        <w:t>)</w:t>
      </w:r>
      <w:r w:rsidR="00AB5A5B" w:rsidRPr="009B686A">
        <w:rPr>
          <w:lang w:val="en-US"/>
        </w:rPr>
        <w:t>, years of experience</w:t>
      </w:r>
      <w:r w:rsidR="00F63BD5" w:rsidRPr="009B686A">
        <w:rPr>
          <w:lang w:val="en-US"/>
        </w:rPr>
        <w:t xml:space="preserve"> (ordinal)</w:t>
      </w:r>
      <w:r w:rsidR="00AB5A5B" w:rsidRPr="009B686A">
        <w:rPr>
          <w:lang w:val="en-US"/>
        </w:rPr>
        <w:t xml:space="preserve">, and </w:t>
      </w:r>
      <w:r w:rsidR="00632980" w:rsidRPr="009B686A">
        <w:rPr>
          <w:lang w:val="en-US"/>
        </w:rPr>
        <w:t xml:space="preserve">highest formal education </w:t>
      </w:r>
      <w:r w:rsidR="00E46DE8" w:rsidRPr="009B686A">
        <w:rPr>
          <w:lang w:val="en-US"/>
        </w:rPr>
        <w:t>reached</w:t>
      </w:r>
      <w:r w:rsidR="00632980" w:rsidRPr="009B686A">
        <w:rPr>
          <w:lang w:val="en-US"/>
        </w:rPr>
        <w:t xml:space="preserve"> (</w:t>
      </w:r>
      <w:r w:rsidR="000C01E6" w:rsidRPr="009B686A">
        <w:rPr>
          <w:lang w:val="en-US"/>
        </w:rPr>
        <w:t>ordinal</w:t>
      </w:r>
      <w:r w:rsidR="00632980" w:rsidRPr="009B686A">
        <w:rPr>
          <w:lang w:val="en-US"/>
        </w:rPr>
        <w:t>)</w:t>
      </w:r>
      <w:r w:rsidR="003B456E">
        <w:rPr>
          <w:lang w:val="en-US"/>
        </w:rPr>
        <w:t>.</w:t>
      </w:r>
    </w:p>
    <w:p w14:paraId="53629335" w14:textId="4BBCD7C9" w:rsidR="00AB5A5B" w:rsidRPr="00F14B34" w:rsidRDefault="00330C3A" w:rsidP="00E0546B">
      <w:pPr>
        <w:spacing w:line="480" w:lineRule="auto"/>
        <w:ind w:firstLine="720"/>
      </w:pPr>
      <w:r>
        <w:rPr>
          <w:rStyle w:val="CommentReference"/>
          <w:b/>
          <w:bCs/>
          <w:sz w:val="24"/>
          <w:szCs w:val="24"/>
          <w:lang w:val="en-US"/>
        </w:rPr>
        <w:t xml:space="preserve">Role and ET Background. </w:t>
      </w:r>
      <w:r w:rsidR="00F14B34" w:rsidRPr="009B686A">
        <w:rPr>
          <w:rStyle w:val="CommentReference"/>
          <w:sz w:val="24"/>
          <w:szCs w:val="24"/>
          <w:lang w:val="en-US"/>
        </w:rPr>
        <w:t>T</w:t>
      </w:r>
      <w:r w:rsidR="00AB5A5B" w:rsidRPr="009B686A">
        <w:rPr>
          <w:lang w:val="en-US"/>
        </w:rPr>
        <w:t xml:space="preserve">he role of participants was categorically coded across the grade levels of students </w:t>
      </w:r>
      <w:r w:rsidR="006C1164" w:rsidRPr="009B686A">
        <w:rPr>
          <w:lang w:val="en-US"/>
        </w:rPr>
        <w:t xml:space="preserve">the participants </w:t>
      </w:r>
      <w:r w:rsidR="00597BE2" w:rsidRPr="009B686A">
        <w:rPr>
          <w:lang w:val="en-US"/>
        </w:rPr>
        <w:t>taught (nominal</w:t>
      </w:r>
      <w:r w:rsidR="0011162F" w:rsidRPr="009B686A">
        <w:rPr>
          <w:lang w:val="en-US"/>
        </w:rPr>
        <w:t xml:space="preserve">, multiple </w:t>
      </w:r>
      <w:r w:rsidR="006C1164" w:rsidRPr="009B686A">
        <w:rPr>
          <w:lang w:val="en-US"/>
        </w:rPr>
        <w:t>response</w:t>
      </w:r>
      <w:r w:rsidR="00597BE2" w:rsidRPr="009B686A">
        <w:rPr>
          <w:lang w:val="en-US"/>
        </w:rPr>
        <w:t>)</w:t>
      </w:r>
      <w:r w:rsidR="00AB5A5B" w:rsidRPr="009B686A">
        <w:rPr>
          <w:lang w:val="en-US"/>
        </w:rPr>
        <w:t xml:space="preserve"> and the teaching certifications they possessed</w:t>
      </w:r>
      <w:r w:rsidR="00597BE2" w:rsidRPr="009B686A">
        <w:rPr>
          <w:lang w:val="en-US"/>
        </w:rPr>
        <w:t xml:space="preserve"> (nominal</w:t>
      </w:r>
      <w:r w:rsidR="006C1164" w:rsidRPr="009B686A">
        <w:rPr>
          <w:lang w:val="en-US"/>
        </w:rPr>
        <w:t xml:space="preserve">, multiple response </w:t>
      </w:r>
      <w:r w:rsidR="003B456E">
        <w:rPr>
          <w:lang w:val="en-US"/>
        </w:rPr>
        <w:t>with</w:t>
      </w:r>
      <w:r w:rsidR="006C1164" w:rsidRPr="009B686A">
        <w:rPr>
          <w:lang w:val="en-US"/>
        </w:rPr>
        <w:t xml:space="preserve"> narrative</w:t>
      </w:r>
      <w:r w:rsidR="00152E8E" w:rsidRPr="009B686A">
        <w:rPr>
          <w:lang w:val="en-US"/>
        </w:rPr>
        <w:t xml:space="preserve"> option</w:t>
      </w:r>
      <w:r w:rsidR="00597BE2" w:rsidRPr="009B686A">
        <w:rPr>
          <w:lang w:val="en-US"/>
        </w:rPr>
        <w:t>)</w:t>
      </w:r>
      <w:r w:rsidR="00A51F8C" w:rsidRPr="009B686A">
        <w:rPr>
          <w:lang w:val="en-US"/>
        </w:rPr>
        <w:t>,</w:t>
      </w:r>
      <w:r w:rsidR="00AB5A5B" w:rsidRPr="009B686A">
        <w:rPr>
          <w:lang w:val="en-US"/>
        </w:rPr>
        <w:t xml:space="preserve"> as reported by study authors. Participant</w:t>
      </w:r>
      <w:r w:rsidR="00A91F1E" w:rsidRPr="009B686A">
        <w:rPr>
          <w:lang w:val="en-US"/>
        </w:rPr>
        <w:t>s</w:t>
      </w:r>
      <w:r w:rsidR="00E46DE8" w:rsidRPr="009B686A">
        <w:rPr>
          <w:lang w:val="en-US"/>
        </w:rPr>
        <w:t>’</w:t>
      </w:r>
      <w:r w:rsidR="00AB5A5B" w:rsidRPr="009B686A">
        <w:rPr>
          <w:lang w:val="en-US"/>
        </w:rPr>
        <w:t xml:space="preserve"> self-reported ET training </w:t>
      </w:r>
      <w:r w:rsidR="00A91F1E" w:rsidRPr="009B686A">
        <w:rPr>
          <w:lang w:val="en-US"/>
        </w:rPr>
        <w:t>before</w:t>
      </w:r>
      <w:r w:rsidR="00AB5A5B" w:rsidRPr="009B686A">
        <w:rPr>
          <w:lang w:val="en-US"/>
        </w:rPr>
        <w:t xml:space="preserve"> </w:t>
      </w:r>
      <w:r w:rsidR="00A72A61" w:rsidRPr="009B686A">
        <w:rPr>
          <w:lang w:val="en-US"/>
        </w:rPr>
        <w:t xml:space="preserve">PD </w:t>
      </w:r>
      <w:r w:rsidR="00AB5A5B" w:rsidRPr="009B686A">
        <w:rPr>
          <w:lang w:val="en-US"/>
        </w:rPr>
        <w:t xml:space="preserve">intervention was coded </w:t>
      </w:r>
      <w:r w:rsidR="00854DF5" w:rsidRPr="009B686A">
        <w:rPr>
          <w:lang w:val="en-US"/>
        </w:rPr>
        <w:t>categorically (nominal, multip</w:t>
      </w:r>
      <w:r w:rsidR="007944CC" w:rsidRPr="009B686A">
        <w:rPr>
          <w:lang w:val="en-US"/>
        </w:rPr>
        <w:t>le response</w:t>
      </w:r>
      <w:r w:rsidR="003B456E">
        <w:rPr>
          <w:lang w:val="en-US"/>
        </w:rPr>
        <w:t xml:space="preserve"> with </w:t>
      </w:r>
      <w:r w:rsidR="007944CC" w:rsidRPr="009B686A">
        <w:rPr>
          <w:lang w:val="en-US"/>
        </w:rPr>
        <w:t>narrative</w:t>
      </w:r>
      <w:r w:rsidR="00D26122" w:rsidRPr="009B686A">
        <w:rPr>
          <w:lang w:val="en-US"/>
        </w:rPr>
        <w:t xml:space="preserve"> option</w:t>
      </w:r>
      <w:r w:rsidR="007944CC" w:rsidRPr="009B686A">
        <w:rPr>
          <w:lang w:val="en-US"/>
        </w:rPr>
        <w:t xml:space="preserve">) </w:t>
      </w:r>
      <w:r w:rsidR="00AB5A5B" w:rsidRPr="009B686A">
        <w:rPr>
          <w:lang w:val="en-US"/>
        </w:rPr>
        <w:t>as Informal or Formal Training</w:t>
      </w:r>
      <w:r w:rsidR="00E46DE8" w:rsidRPr="009B686A">
        <w:rPr>
          <w:lang w:val="en-US"/>
        </w:rPr>
        <w:t>,</w:t>
      </w:r>
      <w:r w:rsidR="00AB5A5B" w:rsidRPr="009B686A">
        <w:rPr>
          <w:lang w:val="en-US"/>
        </w:rPr>
        <w:t xml:space="preserve"> as reported by </w:t>
      </w:r>
      <w:r w:rsidR="00E46DE8" w:rsidRPr="009B686A">
        <w:rPr>
          <w:lang w:val="en-US"/>
        </w:rPr>
        <w:t xml:space="preserve">the </w:t>
      </w:r>
      <w:r w:rsidR="00AB5A5B" w:rsidRPr="009B686A">
        <w:rPr>
          <w:lang w:val="en-US"/>
        </w:rPr>
        <w:t xml:space="preserve">study authors. </w:t>
      </w:r>
      <w:r w:rsidR="00A65EF2" w:rsidRPr="009B686A">
        <w:rPr>
          <w:lang w:val="en-US"/>
        </w:rPr>
        <w:t xml:space="preserve">We defined </w:t>
      </w:r>
      <w:r w:rsidR="00837B75" w:rsidRPr="009B686A">
        <w:rPr>
          <w:lang w:val="en-US"/>
        </w:rPr>
        <w:t xml:space="preserve">Informal ET training as </w:t>
      </w:r>
      <w:r w:rsidR="0052713A" w:rsidRPr="009B686A">
        <w:rPr>
          <w:lang w:val="en-US"/>
        </w:rPr>
        <w:t>self-teaching</w:t>
      </w:r>
      <w:r w:rsidR="00C81145" w:rsidRPr="009B686A">
        <w:rPr>
          <w:lang w:val="en-US"/>
        </w:rPr>
        <w:t xml:space="preserve"> or peer</w:t>
      </w:r>
      <w:r w:rsidR="00B971D5" w:rsidRPr="009B686A">
        <w:rPr>
          <w:lang w:val="en-US"/>
        </w:rPr>
        <w:t>-</w:t>
      </w:r>
      <w:r w:rsidR="00072038" w:rsidRPr="009B686A">
        <w:rPr>
          <w:lang w:val="en-US"/>
        </w:rPr>
        <w:t xml:space="preserve">teacher </w:t>
      </w:r>
      <w:r w:rsidR="00C81145" w:rsidRPr="009B686A">
        <w:rPr>
          <w:lang w:val="en-US"/>
        </w:rPr>
        <w:t>support</w:t>
      </w:r>
      <w:r w:rsidR="00837B75" w:rsidRPr="009B686A">
        <w:rPr>
          <w:lang w:val="en-US"/>
        </w:rPr>
        <w:t>. Formal ET training was defined as</w:t>
      </w:r>
      <w:r w:rsidR="006E3C41" w:rsidRPr="009B686A">
        <w:rPr>
          <w:lang w:val="en-US"/>
        </w:rPr>
        <w:t xml:space="preserve"> </w:t>
      </w:r>
      <w:r w:rsidR="006E3C41" w:rsidRPr="009B686A">
        <w:rPr>
          <w:color w:val="1F1F1F"/>
          <w:shd w:val="clear" w:color="auto" w:fill="FFFFFF"/>
          <w:lang w:val="en-US"/>
        </w:rPr>
        <w:t>p</w:t>
      </w:r>
      <w:r w:rsidR="006E3C41" w:rsidRPr="009B686A">
        <w:rPr>
          <w:lang w:val="en-US"/>
        </w:rPr>
        <w:t>revious participation in targeted continuing education techniques to improve teacher practice, including collaborative progress monitoring, use of live model(s), use of video model(s), role play, independent practice, self-reflection, performance feedback, written directions, problem-solving discussions, in-service workshops, peer mentoring, or communities of practice.</w:t>
      </w:r>
      <w:r w:rsidR="00837B75" w:rsidRPr="009B686A">
        <w:rPr>
          <w:lang w:val="en-US"/>
        </w:rPr>
        <w:t xml:space="preserve"> </w:t>
      </w:r>
      <w:r w:rsidR="00FC199F" w:rsidRPr="009B686A">
        <w:rPr>
          <w:lang w:val="en-US"/>
        </w:rPr>
        <w:t xml:space="preserve">We also reported </w:t>
      </w:r>
      <w:r w:rsidR="00AB5A5B" w:rsidRPr="009B686A">
        <w:rPr>
          <w:lang w:val="en-US"/>
        </w:rPr>
        <w:t xml:space="preserve">ET use in </w:t>
      </w:r>
      <w:r w:rsidR="005B64D9" w:rsidRPr="009B686A">
        <w:rPr>
          <w:lang w:val="en-US"/>
        </w:rPr>
        <w:t xml:space="preserve">participant </w:t>
      </w:r>
      <w:r w:rsidR="00AB5A5B" w:rsidRPr="009B686A">
        <w:rPr>
          <w:lang w:val="en-US"/>
        </w:rPr>
        <w:t xml:space="preserve">practice </w:t>
      </w:r>
      <w:r w:rsidR="001041B9" w:rsidRPr="009B686A">
        <w:rPr>
          <w:lang w:val="en-US"/>
        </w:rPr>
        <w:t>before</w:t>
      </w:r>
      <w:r w:rsidR="00AB5A5B" w:rsidRPr="009B686A">
        <w:rPr>
          <w:lang w:val="en-US"/>
        </w:rPr>
        <w:t xml:space="preserve"> intervention </w:t>
      </w:r>
      <w:r w:rsidR="00F30AF4" w:rsidRPr="009B686A">
        <w:rPr>
          <w:lang w:val="en-US"/>
        </w:rPr>
        <w:t>categorically (ordina</w:t>
      </w:r>
      <w:r w:rsidR="00A9402D" w:rsidRPr="009B686A">
        <w:rPr>
          <w:lang w:val="en-US"/>
        </w:rPr>
        <w:t>l</w:t>
      </w:r>
      <w:r w:rsidR="00F30AF4" w:rsidRPr="009B686A">
        <w:rPr>
          <w:lang w:val="en-US"/>
        </w:rPr>
        <w:t xml:space="preserve">) </w:t>
      </w:r>
      <w:r w:rsidR="00AB5A5B" w:rsidRPr="009B686A">
        <w:rPr>
          <w:lang w:val="en-US"/>
        </w:rPr>
        <w:t xml:space="preserve">as a range </w:t>
      </w:r>
      <w:r w:rsidR="00F30AF4" w:rsidRPr="009B686A">
        <w:rPr>
          <w:lang w:val="en-US"/>
        </w:rPr>
        <w:t xml:space="preserve">with options </w:t>
      </w:r>
      <w:r w:rsidR="00AB5A5B" w:rsidRPr="009B686A">
        <w:rPr>
          <w:lang w:val="en-US"/>
        </w:rPr>
        <w:t>including never, rarely</w:t>
      </w:r>
      <w:r w:rsidR="004E4B41" w:rsidRPr="009B686A">
        <w:rPr>
          <w:lang w:val="en-US"/>
        </w:rPr>
        <w:t xml:space="preserve"> (less than monthly</w:t>
      </w:r>
      <w:r w:rsidR="00470AB2" w:rsidRPr="009B686A">
        <w:rPr>
          <w:lang w:val="en-US"/>
        </w:rPr>
        <w:t>)</w:t>
      </w:r>
      <w:r w:rsidR="00AB5A5B" w:rsidRPr="009B686A">
        <w:rPr>
          <w:lang w:val="en-US"/>
        </w:rPr>
        <w:t>, occasionally</w:t>
      </w:r>
      <w:r w:rsidR="00470AB2" w:rsidRPr="009B686A">
        <w:rPr>
          <w:lang w:val="en-US"/>
        </w:rPr>
        <w:t xml:space="preserve"> (monthly)</w:t>
      </w:r>
      <w:r w:rsidR="00AB5A5B" w:rsidRPr="009B686A">
        <w:rPr>
          <w:lang w:val="en-US"/>
        </w:rPr>
        <w:t>, often</w:t>
      </w:r>
      <w:r w:rsidR="00470AB2" w:rsidRPr="009B686A">
        <w:rPr>
          <w:lang w:val="en-US"/>
        </w:rPr>
        <w:t xml:space="preserve"> (weekly)</w:t>
      </w:r>
      <w:r w:rsidR="00AB5A5B" w:rsidRPr="009B686A">
        <w:rPr>
          <w:lang w:val="en-US"/>
        </w:rPr>
        <w:t>, or always</w:t>
      </w:r>
      <w:r w:rsidR="00470AB2" w:rsidRPr="009B686A">
        <w:rPr>
          <w:lang w:val="en-US"/>
        </w:rPr>
        <w:t xml:space="preserve"> (daily)</w:t>
      </w:r>
      <w:r w:rsidR="00AB5A5B" w:rsidRPr="009B686A">
        <w:rPr>
          <w:lang w:val="en-US"/>
        </w:rPr>
        <w:t xml:space="preserve">. </w:t>
      </w:r>
      <w:r w:rsidR="00A9402D" w:rsidRPr="009B686A">
        <w:rPr>
          <w:lang w:val="en-US"/>
        </w:rPr>
        <w:t>Detailed d</w:t>
      </w:r>
      <w:r w:rsidR="00AB5A5B" w:rsidRPr="009B686A">
        <w:rPr>
          <w:lang w:val="en-US"/>
        </w:rPr>
        <w:t xml:space="preserve">efinitions and examples of amounts for each potential </w:t>
      </w:r>
      <w:r w:rsidR="00E3714C" w:rsidRPr="009B686A">
        <w:rPr>
          <w:lang w:val="en-US"/>
        </w:rPr>
        <w:t>choice</w:t>
      </w:r>
      <w:r w:rsidR="00AB5A5B" w:rsidRPr="009B686A">
        <w:rPr>
          <w:lang w:val="en-US"/>
        </w:rPr>
        <w:t xml:space="preserve"> in the range are included in the supplemental OSF materials</w:t>
      </w:r>
      <w:r w:rsidR="00B67006" w:rsidRPr="009B686A">
        <w:rPr>
          <w:lang w:val="en-US"/>
        </w:rPr>
        <w:t xml:space="preserve"> at </w:t>
      </w:r>
      <w:hyperlink r:id="rId10" w:history="1">
        <w:r w:rsidR="00B67006" w:rsidRPr="009B686A">
          <w:rPr>
            <w:rStyle w:val="Hyperlink"/>
            <w:color w:val="auto"/>
            <w:lang w:val="en-US"/>
          </w:rPr>
          <w:t>https://justman.fyi/PDonETinSPED-Review</w:t>
        </w:r>
      </w:hyperlink>
      <w:r w:rsidR="00B67006" w:rsidRPr="009B686A">
        <w:rPr>
          <w:lang w:val="en-US"/>
        </w:rPr>
        <w:t>.</w:t>
      </w:r>
    </w:p>
    <w:p w14:paraId="07B6443B" w14:textId="77777777" w:rsidR="00AB5A5B" w:rsidRPr="00F14B34" w:rsidRDefault="00AB5A5B" w:rsidP="00E0546B">
      <w:pPr>
        <w:pStyle w:val="Heading3"/>
        <w:spacing w:line="480" w:lineRule="auto"/>
      </w:pPr>
      <w:r w:rsidRPr="00F14B34">
        <w:t>Setting</w:t>
      </w:r>
    </w:p>
    <w:p w14:paraId="23ABEDFC" w14:textId="77777777" w:rsidR="003F65F5" w:rsidRDefault="0089127D" w:rsidP="00E0546B">
      <w:pPr>
        <w:spacing w:line="480" w:lineRule="auto"/>
        <w:ind w:firstLine="720"/>
        <w:rPr>
          <w:lang w:val="en-US"/>
        </w:rPr>
      </w:pPr>
      <w:r w:rsidRPr="009B686A">
        <w:rPr>
          <w:lang w:val="en-US"/>
        </w:rPr>
        <w:t>In case</w:t>
      </w:r>
      <w:r w:rsidR="005A5F7E">
        <w:rPr>
          <w:lang w:val="en-US"/>
        </w:rPr>
        <w:t xml:space="preserve"> study</w:t>
      </w:r>
      <w:r w:rsidRPr="009B686A">
        <w:rPr>
          <w:lang w:val="en-US"/>
        </w:rPr>
        <w:t xml:space="preserve"> designs, </w:t>
      </w:r>
      <w:r w:rsidR="00FC199F" w:rsidRPr="009B686A">
        <w:rPr>
          <w:lang w:val="en-US"/>
        </w:rPr>
        <w:t xml:space="preserve">we coded the </w:t>
      </w:r>
      <w:r w:rsidRPr="009B686A">
        <w:rPr>
          <w:lang w:val="en-US"/>
        </w:rPr>
        <w:t xml:space="preserve">setting </w:t>
      </w:r>
      <w:r w:rsidR="008E5D46" w:rsidRPr="009B686A">
        <w:rPr>
          <w:lang w:val="en-US"/>
        </w:rPr>
        <w:t>data</w:t>
      </w:r>
      <w:r w:rsidRPr="009B686A">
        <w:rPr>
          <w:lang w:val="en-US"/>
        </w:rPr>
        <w:t xml:space="preserve"> for each participant</w:t>
      </w:r>
      <w:r w:rsidR="008E5D46" w:rsidRPr="009B686A">
        <w:rPr>
          <w:lang w:val="en-US"/>
        </w:rPr>
        <w:t>.</w:t>
      </w:r>
      <w:r w:rsidRPr="009B686A">
        <w:rPr>
          <w:lang w:val="en-US"/>
        </w:rPr>
        <w:t xml:space="preserve"> In group designs, </w:t>
      </w:r>
      <w:r w:rsidR="00FC199F" w:rsidRPr="009B686A">
        <w:rPr>
          <w:lang w:val="en-US"/>
        </w:rPr>
        <w:t xml:space="preserve">we coded </w:t>
      </w:r>
      <w:r w:rsidR="00037726" w:rsidRPr="009B686A">
        <w:rPr>
          <w:lang w:val="en-US"/>
        </w:rPr>
        <w:t>setting</w:t>
      </w:r>
      <w:r w:rsidRPr="009B686A">
        <w:rPr>
          <w:lang w:val="en-US"/>
        </w:rPr>
        <w:t xml:space="preserve"> data as a percentage, as reported by </w:t>
      </w:r>
      <w:r w:rsidR="00FC199F" w:rsidRPr="009B686A">
        <w:rPr>
          <w:lang w:val="en-US"/>
        </w:rPr>
        <w:t xml:space="preserve">the </w:t>
      </w:r>
      <w:r w:rsidRPr="009B686A">
        <w:rPr>
          <w:lang w:val="en-US"/>
        </w:rPr>
        <w:t>study authors</w:t>
      </w:r>
      <w:r w:rsidR="008E5D46" w:rsidRPr="009B686A">
        <w:rPr>
          <w:lang w:val="en-US"/>
        </w:rPr>
        <w:t>.</w:t>
      </w:r>
      <w:r w:rsidRPr="009B686A">
        <w:rPr>
          <w:lang w:val="en-US"/>
        </w:rPr>
        <w:t xml:space="preserve"> </w:t>
      </w:r>
      <w:r w:rsidR="00AB5A5B" w:rsidRPr="009B686A">
        <w:rPr>
          <w:lang w:val="en-US"/>
        </w:rPr>
        <w:t xml:space="preserve">To understand the educational context, we </w:t>
      </w:r>
      <w:r w:rsidR="00927042" w:rsidRPr="009B686A">
        <w:rPr>
          <w:lang w:val="en-US"/>
        </w:rPr>
        <w:t xml:space="preserve">categorically </w:t>
      </w:r>
      <w:r w:rsidR="00AB5A5B" w:rsidRPr="009B686A">
        <w:rPr>
          <w:lang w:val="en-US"/>
        </w:rPr>
        <w:t xml:space="preserve">coded </w:t>
      </w:r>
      <w:r w:rsidR="00060E6D" w:rsidRPr="009B686A">
        <w:rPr>
          <w:lang w:val="en-US"/>
        </w:rPr>
        <w:t xml:space="preserve">variables </w:t>
      </w:r>
      <w:r w:rsidR="00655121" w:rsidRPr="009B686A">
        <w:rPr>
          <w:lang w:val="en-US"/>
        </w:rPr>
        <w:t>from a dropdown menu of choices for</w:t>
      </w:r>
      <w:r w:rsidR="00060E6D" w:rsidRPr="009B686A">
        <w:rPr>
          <w:lang w:val="en-US"/>
        </w:rPr>
        <w:t xml:space="preserve"> </w:t>
      </w:r>
      <w:r w:rsidR="00655121" w:rsidRPr="009B686A">
        <w:rPr>
          <w:lang w:val="en-US"/>
        </w:rPr>
        <w:t xml:space="preserve">the </w:t>
      </w:r>
      <w:r w:rsidR="00AB5A5B" w:rsidRPr="009B686A">
        <w:rPr>
          <w:lang w:val="en-US"/>
        </w:rPr>
        <w:t xml:space="preserve">participant’s school type, school locale, school socio-economic status, </w:t>
      </w:r>
      <w:r w:rsidR="002A1DA4" w:rsidRPr="009B686A">
        <w:rPr>
          <w:lang w:val="en-US"/>
        </w:rPr>
        <w:t xml:space="preserve">and </w:t>
      </w:r>
      <w:r w:rsidR="00AB5A5B" w:rsidRPr="009B686A">
        <w:rPr>
          <w:lang w:val="en-US"/>
        </w:rPr>
        <w:t xml:space="preserve">the participant’s </w:t>
      </w:r>
      <w:r w:rsidR="00AB5A5B" w:rsidRPr="009B686A">
        <w:rPr>
          <w:lang w:val="en-US"/>
        </w:rPr>
        <w:lastRenderedPageBreak/>
        <w:t>placement in the schoo</w:t>
      </w:r>
      <w:r w:rsidR="00F131EB" w:rsidRPr="009B686A">
        <w:rPr>
          <w:lang w:val="en-US"/>
        </w:rPr>
        <w:t>l</w:t>
      </w:r>
      <w:r w:rsidR="00AB5A5B" w:rsidRPr="009B686A">
        <w:rPr>
          <w:lang w:val="en-US"/>
        </w:rPr>
        <w:t xml:space="preserve">. </w:t>
      </w:r>
      <w:r w:rsidR="00FC199F" w:rsidRPr="009B686A">
        <w:rPr>
          <w:lang w:val="en-US"/>
        </w:rPr>
        <w:t>We also coded categorically for t</w:t>
      </w:r>
      <w:r w:rsidR="00AB5A5B" w:rsidRPr="009B686A">
        <w:rPr>
          <w:lang w:val="en-US"/>
        </w:rPr>
        <w:t xml:space="preserve">he technology resources available to the participant at their school. School Types included public, private, or charter. School locale included urban, suburban, or rural. School socio-economic status </w:t>
      </w:r>
      <w:r w:rsidR="00FC199F" w:rsidRPr="009B686A">
        <w:rPr>
          <w:lang w:val="en-US"/>
        </w:rPr>
        <w:t>was</w:t>
      </w:r>
      <w:r w:rsidR="00AB5A5B" w:rsidRPr="009B686A">
        <w:rPr>
          <w:lang w:val="en-US"/>
        </w:rPr>
        <w:t xml:space="preserve"> coded as either Low, Medium, or High SES</w:t>
      </w:r>
      <w:r w:rsidR="00476356" w:rsidRPr="009B686A">
        <w:rPr>
          <w:lang w:val="en-US"/>
        </w:rPr>
        <w:t xml:space="preserve"> as defined by </w:t>
      </w:r>
      <w:r w:rsidR="00FC199F" w:rsidRPr="009B686A">
        <w:rPr>
          <w:lang w:val="en-US"/>
        </w:rPr>
        <w:t>the study authors</w:t>
      </w:r>
      <w:r w:rsidR="00AB5A5B" w:rsidRPr="009B686A">
        <w:rPr>
          <w:lang w:val="en-US"/>
        </w:rPr>
        <w:t>.</w:t>
      </w:r>
    </w:p>
    <w:p w14:paraId="55BDE824" w14:textId="04F0F33D" w:rsidR="003F65F5" w:rsidRDefault="00AB5A5B" w:rsidP="00E0546B">
      <w:pPr>
        <w:spacing w:line="480" w:lineRule="auto"/>
        <w:ind w:firstLine="720"/>
        <w:rPr>
          <w:lang w:val="en-US"/>
        </w:rPr>
      </w:pPr>
      <w:r w:rsidRPr="009B686A">
        <w:rPr>
          <w:lang w:val="en-US"/>
        </w:rPr>
        <w:t>Participant placement was coded</w:t>
      </w:r>
      <w:r w:rsidR="00D64824" w:rsidRPr="009B686A">
        <w:rPr>
          <w:lang w:val="en-US"/>
        </w:rPr>
        <w:t>,</w:t>
      </w:r>
      <w:r w:rsidRPr="009B686A">
        <w:rPr>
          <w:lang w:val="en-US"/>
        </w:rPr>
        <w:t xml:space="preserve"> </w:t>
      </w:r>
      <w:r w:rsidR="00123B84" w:rsidRPr="009B686A">
        <w:rPr>
          <w:lang w:val="en-US"/>
        </w:rPr>
        <w:t>allowing for multiple responses</w:t>
      </w:r>
      <w:r w:rsidR="003A57DA" w:rsidRPr="009B686A">
        <w:rPr>
          <w:lang w:val="en-US"/>
        </w:rPr>
        <w:t>,</w:t>
      </w:r>
      <w:r w:rsidR="00123B84" w:rsidRPr="009B686A">
        <w:rPr>
          <w:lang w:val="en-US"/>
        </w:rPr>
        <w:t xml:space="preserve"> including</w:t>
      </w:r>
      <w:r w:rsidRPr="009B686A">
        <w:rPr>
          <w:lang w:val="en-US"/>
        </w:rPr>
        <w:t xml:space="preserve"> </w:t>
      </w:r>
      <w:r w:rsidR="0057276D">
        <w:rPr>
          <w:lang w:val="en-US"/>
        </w:rPr>
        <w:t>“</w:t>
      </w:r>
      <w:r w:rsidRPr="009B686A">
        <w:rPr>
          <w:lang w:val="en-US"/>
        </w:rPr>
        <w:t>Inclusive,</w:t>
      </w:r>
      <w:r w:rsidR="0057276D">
        <w:rPr>
          <w:lang w:val="en-US"/>
        </w:rPr>
        <w:t>”</w:t>
      </w:r>
      <w:r w:rsidRPr="009B686A">
        <w:rPr>
          <w:lang w:val="en-US"/>
        </w:rPr>
        <w:t xml:space="preserve"> </w:t>
      </w:r>
      <w:r w:rsidR="0057276D">
        <w:rPr>
          <w:lang w:val="en-US"/>
        </w:rPr>
        <w:t>“</w:t>
      </w:r>
      <w:r w:rsidRPr="009B686A">
        <w:rPr>
          <w:lang w:val="en-US"/>
        </w:rPr>
        <w:t>Specialized School,</w:t>
      </w:r>
      <w:r w:rsidR="0057276D">
        <w:rPr>
          <w:lang w:val="en-US"/>
        </w:rPr>
        <w:t>”</w:t>
      </w:r>
      <w:r w:rsidRPr="009B686A">
        <w:rPr>
          <w:lang w:val="en-US"/>
        </w:rPr>
        <w:t xml:space="preserve"> </w:t>
      </w:r>
      <w:r w:rsidR="0057276D">
        <w:rPr>
          <w:lang w:val="en-US"/>
        </w:rPr>
        <w:t>“</w:t>
      </w:r>
      <w:r w:rsidRPr="009B686A">
        <w:rPr>
          <w:lang w:val="en-US"/>
        </w:rPr>
        <w:t>Resource Room,</w:t>
      </w:r>
      <w:r w:rsidR="0057276D">
        <w:rPr>
          <w:lang w:val="en-US"/>
        </w:rPr>
        <w:t>”</w:t>
      </w:r>
      <w:r w:rsidRPr="009B686A">
        <w:rPr>
          <w:lang w:val="en-US"/>
        </w:rPr>
        <w:t xml:space="preserve"> or </w:t>
      </w:r>
      <w:r w:rsidR="0057276D">
        <w:rPr>
          <w:lang w:val="en-US"/>
        </w:rPr>
        <w:t>“</w:t>
      </w:r>
      <w:r w:rsidRPr="009B686A">
        <w:rPr>
          <w:lang w:val="en-US"/>
        </w:rPr>
        <w:t>Self</w:t>
      </w:r>
      <w:r w:rsidR="00F13BBA" w:rsidRPr="009B686A">
        <w:rPr>
          <w:lang w:val="en-US"/>
        </w:rPr>
        <w:t>-</w:t>
      </w:r>
      <w:r w:rsidRPr="009B686A">
        <w:rPr>
          <w:lang w:val="en-US"/>
        </w:rPr>
        <w:t>Contained.</w:t>
      </w:r>
      <w:r w:rsidR="0057276D">
        <w:rPr>
          <w:lang w:val="en-US"/>
        </w:rPr>
        <w:t>”</w:t>
      </w:r>
      <w:r w:rsidRPr="009B686A">
        <w:rPr>
          <w:lang w:val="en-US"/>
        </w:rPr>
        <w:t xml:space="preserve"> Participant student grade levels taught were coded</w:t>
      </w:r>
      <w:r w:rsidR="003A57DA" w:rsidRPr="009B686A">
        <w:rPr>
          <w:lang w:val="en-US"/>
        </w:rPr>
        <w:t>,</w:t>
      </w:r>
      <w:r w:rsidRPr="009B686A">
        <w:rPr>
          <w:lang w:val="en-US"/>
        </w:rPr>
        <w:t xml:space="preserve"> </w:t>
      </w:r>
      <w:r w:rsidR="00D64824" w:rsidRPr="009B686A">
        <w:rPr>
          <w:lang w:val="en-US"/>
        </w:rPr>
        <w:t xml:space="preserve">allowing for multiple responses, </w:t>
      </w:r>
      <w:r w:rsidR="00F13BBA" w:rsidRPr="009B686A">
        <w:rPr>
          <w:lang w:val="en-US"/>
        </w:rPr>
        <w:t xml:space="preserve">including </w:t>
      </w:r>
      <w:r w:rsidR="0057276D">
        <w:rPr>
          <w:lang w:val="en-US"/>
        </w:rPr>
        <w:t>“</w:t>
      </w:r>
      <w:r w:rsidR="00F13BBA" w:rsidRPr="009B686A">
        <w:rPr>
          <w:lang w:val="en-US"/>
        </w:rPr>
        <w:t>Elementary</w:t>
      </w:r>
      <w:r w:rsidRPr="009B686A">
        <w:rPr>
          <w:lang w:val="en-US"/>
        </w:rPr>
        <w:t xml:space="preserve"> School (K-5),</w:t>
      </w:r>
      <w:r w:rsidR="0057276D">
        <w:rPr>
          <w:lang w:val="en-US"/>
        </w:rPr>
        <w:t>”</w:t>
      </w:r>
      <w:r w:rsidRPr="009B686A">
        <w:rPr>
          <w:lang w:val="en-US"/>
        </w:rPr>
        <w:t xml:space="preserve"> </w:t>
      </w:r>
      <w:r w:rsidR="0057276D">
        <w:rPr>
          <w:lang w:val="en-US"/>
        </w:rPr>
        <w:t>“</w:t>
      </w:r>
      <w:r w:rsidRPr="009B686A">
        <w:rPr>
          <w:lang w:val="en-US"/>
        </w:rPr>
        <w:t>Middle School (6-8),</w:t>
      </w:r>
      <w:r w:rsidR="0057276D">
        <w:rPr>
          <w:lang w:val="en-US"/>
        </w:rPr>
        <w:t>”</w:t>
      </w:r>
      <w:r w:rsidRPr="009B686A">
        <w:rPr>
          <w:lang w:val="en-US"/>
        </w:rPr>
        <w:t xml:space="preserve"> </w:t>
      </w:r>
      <w:r w:rsidR="0057276D">
        <w:rPr>
          <w:lang w:val="en-US"/>
        </w:rPr>
        <w:t>“</w:t>
      </w:r>
      <w:r w:rsidRPr="009B686A">
        <w:rPr>
          <w:lang w:val="en-US"/>
        </w:rPr>
        <w:t>High School (9-12),</w:t>
      </w:r>
      <w:r w:rsidR="0057276D">
        <w:rPr>
          <w:lang w:val="en-US"/>
        </w:rPr>
        <w:t>”</w:t>
      </w:r>
      <w:r w:rsidRPr="009B686A">
        <w:rPr>
          <w:lang w:val="en-US"/>
        </w:rPr>
        <w:t xml:space="preserve"> or </w:t>
      </w:r>
      <w:r w:rsidR="0057276D">
        <w:rPr>
          <w:lang w:val="en-US"/>
        </w:rPr>
        <w:t>“</w:t>
      </w:r>
      <w:r w:rsidRPr="009B686A">
        <w:rPr>
          <w:lang w:val="en-US"/>
        </w:rPr>
        <w:t>Other</w:t>
      </w:r>
      <w:r w:rsidR="0057276D">
        <w:rPr>
          <w:lang w:val="en-US"/>
        </w:rPr>
        <w:t>”</w:t>
      </w:r>
      <w:r w:rsidR="003B456E">
        <w:rPr>
          <w:lang w:val="en-US"/>
        </w:rPr>
        <w:t xml:space="preserve"> for </w:t>
      </w:r>
      <w:r w:rsidR="0057276D">
        <w:rPr>
          <w:lang w:val="en-US"/>
        </w:rPr>
        <w:t xml:space="preserve">narrative input of </w:t>
      </w:r>
      <w:r w:rsidR="003B456E">
        <w:rPr>
          <w:lang w:val="en-US"/>
        </w:rPr>
        <w:t>a</w:t>
      </w:r>
      <w:r w:rsidRPr="009B686A">
        <w:rPr>
          <w:lang w:val="en-US"/>
        </w:rPr>
        <w:t>ny grade level or age group not captured by the other options.</w:t>
      </w:r>
    </w:p>
    <w:p w14:paraId="3D64C374" w14:textId="08F2629D" w:rsidR="003F65F5" w:rsidRDefault="00AB5A5B" w:rsidP="00E0546B">
      <w:pPr>
        <w:spacing w:line="480" w:lineRule="auto"/>
        <w:ind w:firstLine="720"/>
        <w:rPr>
          <w:lang w:val="en-US"/>
        </w:rPr>
      </w:pPr>
      <w:bookmarkStart w:id="8" w:name="_Hlk198847898"/>
      <w:r w:rsidRPr="009B686A">
        <w:rPr>
          <w:lang w:val="en-US"/>
        </w:rPr>
        <w:t xml:space="preserve">Technology resources available at the participant’s school were coded </w:t>
      </w:r>
      <w:r w:rsidR="00011C63" w:rsidRPr="009B686A">
        <w:rPr>
          <w:lang w:val="en-US"/>
        </w:rPr>
        <w:t xml:space="preserve">nominally </w:t>
      </w:r>
      <w:r w:rsidR="008E5D46" w:rsidRPr="009B686A">
        <w:rPr>
          <w:lang w:val="en-US"/>
        </w:rPr>
        <w:t>(multiple response)</w:t>
      </w:r>
      <w:r w:rsidRPr="009B686A">
        <w:rPr>
          <w:lang w:val="en-US"/>
        </w:rPr>
        <w:t xml:space="preserve"> to allow for more information on the level and type of technology resources made available to the participant for instructional purposes by their school</w:t>
      </w:r>
      <w:r w:rsidR="00F13BBA" w:rsidRPr="009B686A">
        <w:rPr>
          <w:lang w:val="en-US"/>
        </w:rPr>
        <w:t>,</w:t>
      </w:r>
      <w:r w:rsidRPr="009B686A">
        <w:rPr>
          <w:lang w:val="en-US"/>
        </w:rPr>
        <w:t xml:space="preserve"> as reported by </w:t>
      </w:r>
      <w:r w:rsidR="00F13BBA" w:rsidRPr="009B686A">
        <w:rPr>
          <w:lang w:val="en-US"/>
        </w:rPr>
        <w:t xml:space="preserve">the </w:t>
      </w:r>
      <w:r w:rsidRPr="009B686A">
        <w:rPr>
          <w:lang w:val="en-US"/>
        </w:rPr>
        <w:t xml:space="preserve">study authors. </w:t>
      </w:r>
      <w:r w:rsidR="008E5D46" w:rsidRPr="009B686A">
        <w:rPr>
          <w:lang w:val="en-US"/>
        </w:rPr>
        <w:t>C</w:t>
      </w:r>
      <w:r w:rsidRPr="009B686A">
        <w:rPr>
          <w:lang w:val="en-US"/>
        </w:rPr>
        <w:t xml:space="preserve">oding options for this variable included “No Technology Provided,” “1:1 Devices, Shared Devices,” “Assistive Technology Devices (Excluding AAC/Switch Devices),” “Classroom Interactive Technology,” “Specialized Instructional Technology,” “Software Licenses and Online Tools,” and “Bring Your Own Device (BYOD) Policy.” </w:t>
      </w:r>
    </w:p>
    <w:bookmarkEnd w:id="8"/>
    <w:p w14:paraId="76643517" w14:textId="15D59293" w:rsidR="00AB5A5B" w:rsidRPr="00F14B34" w:rsidRDefault="00AB5A5B" w:rsidP="00E0546B">
      <w:pPr>
        <w:spacing w:line="480" w:lineRule="auto"/>
        <w:ind w:firstLine="720"/>
      </w:pPr>
      <w:r w:rsidRPr="009B686A">
        <w:rPr>
          <w:lang w:val="en-US"/>
        </w:rPr>
        <w:t>Definitions, examples, and non-examples of each of these options are included in the coding manual</w:t>
      </w:r>
      <w:r w:rsidR="003E7A64" w:rsidRPr="009B686A">
        <w:rPr>
          <w:lang w:val="en-US"/>
        </w:rPr>
        <w:t xml:space="preserve"> in the supplemental materials at </w:t>
      </w:r>
      <w:hyperlink r:id="rId11">
        <w:r w:rsidR="003E7A64" w:rsidRPr="009B686A">
          <w:rPr>
            <w:rStyle w:val="Hyperlink"/>
            <w:color w:val="auto"/>
            <w:lang w:val="en-US"/>
          </w:rPr>
          <w:t>https://justman.fyi/PDonETinSPED-Review</w:t>
        </w:r>
      </w:hyperlink>
      <w:r w:rsidRPr="009B686A">
        <w:rPr>
          <w:lang w:val="en-US"/>
        </w:rPr>
        <w:t>.</w:t>
      </w:r>
    </w:p>
    <w:p w14:paraId="7D55B341" w14:textId="77777777" w:rsidR="00AB5A5B" w:rsidRPr="00F14B34" w:rsidRDefault="00AB5A5B" w:rsidP="00E0546B">
      <w:pPr>
        <w:pStyle w:val="Heading3"/>
        <w:spacing w:line="480" w:lineRule="auto"/>
      </w:pPr>
      <w:r w:rsidRPr="00F14B34">
        <w:t>Intervention Agents</w:t>
      </w:r>
    </w:p>
    <w:p w14:paraId="5BCAC736" w14:textId="0A865DA8" w:rsidR="00AB5A5B" w:rsidRPr="00F14B34" w:rsidRDefault="00AB5A5B" w:rsidP="00E0546B">
      <w:pPr>
        <w:spacing w:line="480" w:lineRule="auto"/>
        <w:ind w:firstLine="720"/>
      </w:pPr>
      <w:r w:rsidRPr="00F14B34">
        <w:t xml:space="preserve">The intervention agents responsible for implementing </w:t>
      </w:r>
      <w:r w:rsidR="00E71EBC">
        <w:t>PD</w:t>
      </w:r>
      <w:r w:rsidRPr="00F14B34">
        <w:t xml:space="preserve"> on </w:t>
      </w:r>
      <w:r w:rsidR="00D84660">
        <w:t>ET</w:t>
      </w:r>
      <w:r w:rsidR="00D84660" w:rsidRPr="00F14B34">
        <w:t xml:space="preserve"> </w:t>
      </w:r>
      <w:r w:rsidR="00330C3A">
        <w:t xml:space="preserve">to improve teacher practice </w:t>
      </w:r>
      <w:r w:rsidRPr="00F14B34">
        <w:t>were coded</w:t>
      </w:r>
      <w:r w:rsidR="00037726" w:rsidRPr="00F14B34">
        <w:t>.</w:t>
      </w:r>
      <w:r w:rsidRPr="00F14B34">
        <w:t xml:space="preserve"> </w:t>
      </w:r>
      <w:r w:rsidR="00037726" w:rsidRPr="00F14B34">
        <w:t>In single</w:t>
      </w:r>
      <w:r w:rsidR="00F13BBA">
        <w:t>-</w:t>
      </w:r>
      <w:r w:rsidR="00037726" w:rsidRPr="00F14B34">
        <w:t xml:space="preserve">case designs, intervention agent data were coded for each participant. In group designs, intervention agent data were coded as a percentage, as reported by </w:t>
      </w:r>
      <w:r w:rsidR="00F13BBA">
        <w:t xml:space="preserve">the </w:t>
      </w:r>
      <w:r w:rsidR="00037726" w:rsidRPr="00F14B34">
        <w:t>study authors</w:t>
      </w:r>
      <w:r w:rsidRPr="00F14B34">
        <w:t xml:space="preserve">. </w:t>
      </w:r>
      <w:r w:rsidR="006C2D2F" w:rsidRPr="00F14B34">
        <w:t xml:space="preserve">Data </w:t>
      </w:r>
      <w:r w:rsidRPr="00F14B34">
        <w:t xml:space="preserve">on </w:t>
      </w:r>
      <w:r w:rsidR="00F42172" w:rsidRPr="00F14B34">
        <w:t xml:space="preserve">the </w:t>
      </w:r>
      <w:r w:rsidRPr="00F14B34">
        <w:t>implementor</w:t>
      </w:r>
      <w:r w:rsidR="00F42172" w:rsidRPr="00F14B34">
        <w:t>’</w:t>
      </w:r>
      <w:r w:rsidRPr="00F14B34">
        <w:t>s role</w:t>
      </w:r>
      <w:r w:rsidR="00FC268B" w:rsidRPr="00F14B34">
        <w:t>s</w:t>
      </w:r>
      <w:r w:rsidRPr="00F14B34">
        <w:t xml:space="preserve"> related to the participant</w:t>
      </w:r>
      <w:r w:rsidR="00FC268B" w:rsidRPr="00F14B34">
        <w:t xml:space="preserve"> </w:t>
      </w:r>
      <w:r w:rsidR="006C2D2F" w:rsidRPr="00F14B34">
        <w:t>were</w:t>
      </w:r>
      <w:r w:rsidR="00FC268B" w:rsidRPr="00F14B34">
        <w:t xml:space="preserve"> coded </w:t>
      </w:r>
      <w:r w:rsidR="00FC268B" w:rsidRPr="00F14B34">
        <w:lastRenderedPageBreak/>
        <w:t>categorically</w:t>
      </w:r>
      <w:r w:rsidR="00F13BBA">
        <w:t>,</w:t>
      </w:r>
      <w:r w:rsidR="00D20F5D" w:rsidRPr="00F14B34">
        <w:t xml:space="preserve"> allowing for</w:t>
      </w:r>
      <w:r w:rsidR="00FC268B" w:rsidRPr="00F14B34">
        <w:t xml:space="preserve"> multiple response</w:t>
      </w:r>
      <w:r w:rsidR="009E575E" w:rsidRPr="00F14B34">
        <w:t xml:space="preserve"> selection</w:t>
      </w:r>
      <w:r w:rsidR="00FC268B" w:rsidRPr="00F14B34">
        <w:t xml:space="preserve"> and narrative</w:t>
      </w:r>
      <w:r w:rsidR="009E575E" w:rsidRPr="00F14B34">
        <w:t xml:space="preserve"> descriptions. Roles considered were </w:t>
      </w:r>
      <w:r w:rsidR="0057276D">
        <w:t>“</w:t>
      </w:r>
      <w:r w:rsidR="009E575E" w:rsidRPr="00F14B34">
        <w:t>researcher,</w:t>
      </w:r>
      <w:r w:rsidR="0057276D">
        <w:t>”</w:t>
      </w:r>
      <w:r w:rsidR="009E575E" w:rsidRPr="00F14B34">
        <w:t xml:space="preserve"> </w:t>
      </w:r>
      <w:r w:rsidR="0057276D">
        <w:t>“</w:t>
      </w:r>
      <w:r w:rsidR="009E575E" w:rsidRPr="00F14B34">
        <w:t>teacher,</w:t>
      </w:r>
      <w:r w:rsidR="0057276D">
        <w:t>”</w:t>
      </w:r>
      <w:r w:rsidR="009E575E" w:rsidRPr="00F14B34">
        <w:t xml:space="preserve"> </w:t>
      </w:r>
      <w:r w:rsidR="0057276D">
        <w:t>“</w:t>
      </w:r>
      <w:r w:rsidR="009E575E" w:rsidRPr="00F14B34">
        <w:t>administrator,</w:t>
      </w:r>
      <w:r w:rsidR="0057276D">
        <w:t>”</w:t>
      </w:r>
      <w:r w:rsidR="009E575E" w:rsidRPr="00F14B34">
        <w:t xml:space="preserve"> </w:t>
      </w:r>
      <w:r w:rsidR="0057276D">
        <w:t>“</w:t>
      </w:r>
      <w:r w:rsidR="009E575E" w:rsidRPr="00F14B34">
        <w:t>technology specialist,</w:t>
      </w:r>
      <w:r w:rsidR="0057276D">
        <w:t>”</w:t>
      </w:r>
      <w:r w:rsidR="009E575E" w:rsidRPr="00F14B34">
        <w:t xml:space="preserve"> </w:t>
      </w:r>
      <w:r w:rsidR="00F13BBA">
        <w:t xml:space="preserve">and </w:t>
      </w:r>
      <w:r w:rsidR="0057276D">
        <w:t>“</w:t>
      </w:r>
      <w:r w:rsidR="009E575E" w:rsidRPr="00F14B34">
        <w:t>technology coach</w:t>
      </w:r>
      <w:r w:rsidR="00F42172" w:rsidRPr="00F14B34">
        <w:t>.</w:t>
      </w:r>
      <w:r w:rsidR="0057276D">
        <w:t>”</w:t>
      </w:r>
      <w:r w:rsidR="00F42172" w:rsidRPr="00F14B34">
        <w:t xml:space="preserve"> The implementer’s</w:t>
      </w:r>
      <w:r w:rsidR="00894CC0" w:rsidRPr="00F14B34">
        <w:t xml:space="preserve"> </w:t>
      </w:r>
      <w:r w:rsidR="00FF0A56" w:rsidRPr="00F14B34">
        <w:t>training</w:t>
      </w:r>
      <w:r w:rsidRPr="00F14B34">
        <w:t>, years of experience, and delivery format</w:t>
      </w:r>
      <w:r w:rsidR="00F13BBA">
        <w:t>,</w:t>
      </w:r>
      <w:r w:rsidRPr="00F14B34">
        <w:t xml:space="preserve"> as reported by </w:t>
      </w:r>
      <w:r w:rsidR="00F13BBA">
        <w:t xml:space="preserve">the </w:t>
      </w:r>
      <w:r w:rsidRPr="00F14B34">
        <w:t>study author</w:t>
      </w:r>
      <w:r w:rsidR="003A3850" w:rsidRPr="00F14B34">
        <w:t>,</w:t>
      </w:r>
      <w:r w:rsidRPr="00F14B34">
        <w:t xml:space="preserve"> were</w:t>
      </w:r>
      <w:r w:rsidR="00BD1316" w:rsidRPr="00F14B34">
        <w:t xml:space="preserve"> </w:t>
      </w:r>
      <w:r w:rsidR="00F42172" w:rsidRPr="00F14B34">
        <w:t>coded</w:t>
      </w:r>
      <w:r w:rsidR="00FF0A56" w:rsidRPr="00F14B34">
        <w:t xml:space="preserve"> </w:t>
      </w:r>
      <w:r w:rsidR="00F42172" w:rsidRPr="00F14B34">
        <w:t>dichot</w:t>
      </w:r>
      <w:r w:rsidR="00772FEE" w:rsidRPr="00F14B34">
        <w:t>o</w:t>
      </w:r>
      <w:r w:rsidR="00F42172" w:rsidRPr="00F14B34">
        <w:t>mously</w:t>
      </w:r>
      <w:r w:rsidRPr="00F14B34">
        <w:t>. Definitions, examples, and non-examples of each variable are included in the coding manual</w:t>
      </w:r>
      <w:r w:rsidR="003E7A64" w:rsidRPr="00F14B34">
        <w:t xml:space="preserve"> in the supplemental materials at </w:t>
      </w:r>
      <w:hyperlink r:id="rId12" w:history="1">
        <w:r w:rsidR="003E7A64" w:rsidRPr="00F14B34">
          <w:rPr>
            <w:rStyle w:val="Hyperlink"/>
            <w:color w:val="auto"/>
          </w:rPr>
          <w:t>https://justman.fyi/PDonETinSPED-Review</w:t>
        </w:r>
      </w:hyperlink>
      <w:r w:rsidRPr="00F14B34">
        <w:t>.</w:t>
      </w:r>
    </w:p>
    <w:p w14:paraId="0D49538A" w14:textId="717F9560" w:rsidR="00AB5A5B" w:rsidRPr="00F14B34" w:rsidRDefault="00AB5A5B" w:rsidP="00E0546B">
      <w:pPr>
        <w:pStyle w:val="Heading3"/>
        <w:spacing w:line="480" w:lineRule="auto"/>
      </w:pPr>
      <w:r w:rsidRPr="00F14B34">
        <w:t>Intervention</w:t>
      </w:r>
    </w:p>
    <w:p w14:paraId="083029FB" w14:textId="69240438" w:rsidR="00FE1B9E" w:rsidRDefault="00330C3A" w:rsidP="00ED4BC3">
      <w:pPr>
        <w:spacing w:line="480" w:lineRule="auto"/>
        <w:ind w:firstLine="720"/>
        <w:rPr>
          <w:lang w:val="en-US"/>
        </w:rPr>
      </w:pPr>
      <w:bookmarkStart w:id="9" w:name="_Hlk198577057"/>
      <w:r>
        <w:rPr>
          <w:b/>
          <w:bCs/>
          <w:lang w:val="en-US"/>
        </w:rPr>
        <w:t>Professional Development</w:t>
      </w:r>
      <w:r w:rsidR="008F636C">
        <w:rPr>
          <w:b/>
          <w:bCs/>
          <w:lang w:val="en-US"/>
        </w:rPr>
        <w:t xml:space="preserve"> Characteristics</w:t>
      </w:r>
      <w:r>
        <w:rPr>
          <w:b/>
          <w:bCs/>
          <w:lang w:val="en-US"/>
        </w:rPr>
        <w:t xml:space="preserve">. </w:t>
      </w:r>
      <w:r w:rsidR="00C1380F" w:rsidRPr="33513164">
        <w:rPr>
          <w:lang w:val="en-US"/>
        </w:rPr>
        <w:t xml:space="preserve">Practices and techniques used in PD </w:t>
      </w:r>
      <w:r w:rsidR="00C6692F" w:rsidRPr="33513164">
        <w:rPr>
          <w:lang w:val="en-US"/>
        </w:rPr>
        <w:t xml:space="preserve">provided to teachers </w:t>
      </w:r>
      <w:r w:rsidR="00C1380F" w:rsidRPr="33513164">
        <w:rPr>
          <w:lang w:val="en-US"/>
        </w:rPr>
        <w:t xml:space="preserve">were coded as a categorical, multiple-response variable. </w:t>
      </w:r>
      <w:r w:rsidR="0057276D">
        <w:rPr>
          <w:lang w:val="en-US"/>
        </w:rPr>
        <w:t>“</w:t>
      </w:r>
      <w:r w:rsidR="00C1380F" w:rsidRPr="33513164">
        <w:rPr>
          <w:lang w:val="en-US"/>
        </w:rPr>
        <w:t>Collaborative Progress Monitoring</w:t>
      </w:r>
      <w:r w:rsidR="0057276D">
        <w:rPr>
          <w:lang w:val="en-US"/>
        </w:rPr>
        <w:t>”</w:t>
      </w:r>
      <w:r w:rsidR="00C1380F" w:rsidRPr="33513164">
        <w:rPr>
          <w:lang w:val="en-US"/>
        </w:rPr>
        <w:t xml:space="preserve"> refer</w:t>
      </w:r>
      <w:r w:rsidR="00A169C4">
        <w:rPr>
          <w:lang w:val="en-US"/>
        </w:rPr>
        <w:t>s</w:t>
      </w:r>
      <w:r w:rsidR="00C1380F" w:rsidRPr="33513164">
        <w:rPr>
          <w:lang w:val="en-US"/>
        </w:rPr>
        <w:t xml:space="preserve"> to educators jointly reviewing student data to inform instruction. </w:t>
      </w:r>
      <w:r w:rsidR="0057276D">
        <w:rPr>
          <w:lang w:val="en-US"/>
        </w:rPr>
        <w:t>“</w:t>
      </w:r>
      <w:r w:rsidR="00C1380F" w:rsidRPr="33513164">
        <w:rPr>
          <w:lang w:val="en-US"/>
        </w:rPr>
        <w:t>Live Models</w:t>
      </w:r>
      <w:r w:rsidR="0057276D">
        <w:rPr>
          <w:lang w:val="en-US"/>
        </w:rPr>
        <w:t>”</w:t>
      </w:r>
      <w:r w:rsidR="00C1380F" w:rsidRPr="33513164">
        <w:rPr>
          <w:lang w:val="en-US"/>
        </w:rPr>
        <w:t xml:space="preserve"> and </w:t>
      </w:r>
      <w:r w:rsidR="0057276D">
        <w:rPr>
          <w:lang w:val="en-US"/>
        </w:rPr>
        <w:t>“</w:t>
      </w:r>
      <w:r w:rsidR="00C1380F" w:rsidRPr="33513164">
        <w:rPr>
          <w:lang w:val="en-US"/>
        </w:rPr>
        <w:t>Video Models</w:t>
      </w:r>
      <w:r w:rsidR="0057276D">
        <w:rPr>
          <w:lang w:val="en-US"/>
        </w:rPr>
        <w:t>”</w:t>
      </w:r>
      <w:r w:rsidR="00C1380F" w:rsidRPr="33513164">
        <w:rPr>
          <w:lang w:val="en-US"/>
        </w:rPr>
        <w:t xml:space="preserve"> were coded as direct demonstrations of practices by facilitators, either in-person or via recorded media, respectively. </w:t>
      </w:r>
      <w:r w:rsidR="0057276D">
        <w:rPr>
          <w:lang w:val="en-US"/>
        </w:rPr>
        <w:t>“</w:t>
      </w:r>
      <w:r w:rsidR="00C1380F" w:rsidRPr="33513164">
        <w:rPr>
          <w:lang w:val="en-US"/>
        </w:rPr>
        <w:t>Role-Play</w:t>
      </w:r>
      <w:r w:rsidR="0057276D">
        <w:rPr>
          <w:lang w:val="en-US"/>
        </w:rPr>
        <w:t>”</w:t>
      </w:r>
      <w:r w:rsidR="00C1380F" w:rsidRPr="33513164">
        <w:rPr>
          <w:lang w:val="en-US"/>
        </w:rPr>
        <w:t xml:space="preserve"> involved participants simulating instructional interactions. </w:t>
      </w:r>
      <w:r w:rsidR="0057276D">
        <w:rPr>
          <w:lang w:val="en-US"/>
        </w:rPr>
        <w:t>“</w:t>
      </w:r>
      <w:r w:rsidR="00C1380F" w:rsidRPr="33513164">
        <w:rPr>
          <w:lang w:val="en-US"/>
        </w:rPr>
        <w:t>Independent Practice</w:t>
      </w:r>
      <w:r w:rsidR="0057276D">
        <w:rPr>
          <w:lang w:val="en-US"/>
        </w:rPr>
        <w:t>”</w:t>
      </w:r>
      <w:r w:rsidR="00C1380F" w:rsidRPr="33513164">
        <w:rPr>
          <w:lang w:val="en-US"/>
        </w:rPr>
        <w:t xml:space="preserve"> included opportunities for teachers to rehearse new strategies outside of live feedback contexts. </w:t>
      </w:r>
      <w:r w:rsidR="0057276D">
        <w:rPr>
          <w:lang w:val="en-US"/>
        </w:rPr>
        <w:t>“</w:t>
      </w:r>
      <w:r w:rsidR="00C1380F" w:rsidRPr="33513164">
        <w:rPr>
          <w:lang w:val="en-US"/>
        </w:rPr>
        <w:t>Self-Reflection</w:t>
      </w:r>
      <w:r w:rsidR="0057276D">
        <w:rPr>
          <w:lang w:val="en-US"/>
        </w:rPr>
        <w:t>”</w:t>
      </w:r>
      <w:r w:rsidR="00C1380F" w:rsidRPr="33513164">
        <w:rPr>
          <w:lang w:val="en-US"/>
        </w:rPr>
        <w:t xml:space="preserve"> captured instances where participants were prompted to analyze their instructional decision-making. </w:t>
      </w:r>
      <w:r w:rsidR="0057276D">
        <w:rPr>
          <w:lang w:val="en-US"/>
        </w:rPr>
        <w:t>“</w:t>
      </w:r>
      <w:r w:rsidR="00C1380F" w:rsidRPr="33513164">
        <w:rPr>
          <w:lang w:val="en-US"/>
        </w:rPr>
        <w:t>Performance Feedback</w:t>
      </w:r>
      <w:r w:rsidR="0057276D">
        <w:rPr>
          <w:lang w:val="en-US"/>
        </w:rPr>
        <w:t>”</w:t>
      </w:r>
      <w:r w:rsidR="00C1380F" w:rsidRPr="33513164">
        <w:rPr>
          <w:lang w:val="en-US"/>
        </w:rPr>
        <w:t xml:space="preserve"> was defined as verbal or written information provided on implementation quality. </w:t>
      </w:r>
      <w:r w:rsidR="0057276D">
        <w:rPr>
          <w:lang w:val="en-US"/>
        </w:rPr>
        <w:t>“</w:t>
      </w:r>
      <w:r w:rsidR="00C1380F" w:rsidRPr="33513164">
        <w:rPr>
          <w:lang w:val="en-US"/>
        </w:rPr>
        <w:t>Written Directions</w:t>
      </w:r>
      <w:r w:rsidR="0057276D">
        <w:rPr>
          <w:lang w:val="en-US"/>
        </w:rPr>
        <w:t>”</w:t>
      </w:r>
      <w:r w:rsidR="00C1380F" w:rsidRPr="33513164">
        <w:rPr>
          <w:lang w:val="en-US"/>
        </w:rPr>
        <w:t xml:space="preserve"> were operationalized as instructional protocols, handouts, or guides. </w:t>
      </w:r>
      <w:r w:rsidR="0057276D">
        <w:rPr>
          <w:lang w:val="en-US"/>
        </w:rPr>
        <w:t>“</w:t>
      </w:r>
      <w:r w:rsidR="00C1380F" w:rsidRPr="33513164">
        <w:rPr>
          <w:lang w:val="en-US"/>
        </w:rPr>
        <w:t>Problem-Solving Discussions</w:t>
      </w:r>
      <w:r w:rsidR="0057276D">
        <w:rPr>
          <w:lang w:val="en-US"/>
        </w:rPr>
        <w:t>”</w:t>
      </w:r>
      <w:r w:rsidR="00C1380F" w:rsidRPr="33513164">
        <w:rPr>
          <w:lang w:val="en-US"/>
        </w:rPr>
        <w:t xml:space="preserve"> included structured opportunities for collaborative analysis of instructional challenges. </w:t>
      </w:r>
      <w:r w:rsidR="0057276D">
        <w:rPr>
          <w:lang w:val="en-US"/>
        </w:rPr>
        <w:t>“</w:t>
      </w:r>
      <w:r w:rsidR="00C1380F" w:rsidRPr="33513164">
        <w:rPr>
          <w:lang w:val="en-US"/>
        </w:rPr>
        <w:t>In-Service</w:t>
      </w:r>
      <w:r w:rsidR="0057276D">
        <w:rPr>
          <w:lang w:val="en-US"/>
        </w:rPr>
        <w:t>”</w:t>
      </w:r>
      <w:r w:rsidR="00C1380F" w:rsidRPr="33513164">
        <w:rPr>
          <w:lang w:val="en-US"/>
        </w:rPr>
        <w:t xml:space="preserve"> referred to formal, often school-sponsored PD events. </w:t>
      </w:r>
      <w:r w:rsidR="0057276D">
        <w:rPr>
          <w:lang w:val="en-US"/>
        </w:rPr>
        <w:t>“</w:t>
      </w:r>
      <w:r w:rsidR="00C1380F" w:rsidRPr="33513164">
        <w:rPr>
          <w:lang w:val="en-US"/>
        </w:rPr>
        <w:t>Peer Mentoring</w:t>
      </w:r>
      <w:r w:rsidR="0057276D">
        <w:rPr>
          <w:lang w:val="en-US"/>
        </w:rPr>
        <w:t>”</w:t>
      </w:r>
      <w:r w:rsidR="00C1380F" w:rsidRPr="33513164">
        <w:rPr>
          <w:lang w:val="en-US"/>
        </w:rPr>
        <w:t xml:space="preserve"> </w:t>
      </w:r>
      <w:r w:rsidR="0057276D">
        <w:rPr>
          <w:lang w:val="en-US"/>
        </w:rPr>
        <w:t>meant</w:t>
      </w:r>
      <w:r w:rsidR="00C1380F" w:rsidRPr="33513164">
        <w:rPr>
          <w:lang w:val="en-US"/>
        </w:rPr>
        <w:t xml:space="preserve"> ongoing support between educators, while </w:t>
      </w:r>
      <w:r w:rsidR="0057276D">
        <w:rPr>
          <w:lang w:val="en-US"/>
        </w:rPr>
        <w:t>“</w:t>
      </w:r>
      <w:r w:rsidR="00C1380F" w:rsidRPr="33513164">
        <w:rPr>
          <w:lang w:val="en-US"/>
        </w:rPr>
        <w:t xml:space="preserve">Community of </w:t>
      </w:r>
      <w:r w:rsidR="00001639" w:rsidRPr="33513164">
        <w:rPr>
          <w:lang w:val="en-US"/>
        </w:rPr>
        <w:t>Practice</w:t>
      </w:r>
      <w:r w:rsidR="0057276D">
        <w:rPr>
          <w:lang w:val="en-US"/>
        </w:rPr>
        <w:t>”</w:t>
      </w:r>
      <w:r w:rsidR="00001639" w:rsidRPr="33513164">
        <w:rPr>
          <w:lang w:val="en-US"/>
        </w:rPr>
        <w:t xml:space="preserve"> </w:t>
      </w:r>
      <w:r w:rsidR="00C1380F" w:rsidRPr="33513164">
        <w:rPr>
          <w:lang w:val="en-US"/>
        </w:rPr>
        <w:t>encompassed recurring group-based collaboration grounded in shared goals or interests.</w:t>
      </w:r>
    </w:p>
    <w:p w14:paraId="043C8652" w14:textId="66D5477A" w:rsidR="00ED4BC3" w:rsidRPr="00ED4BC3" w:rsidRDefault="00BB5391" w:rsidP="00ED4BC3">
      <w:pPr>
        <w:spacing w:line="480" w:lineRule="auto"/>
        <w:ind w:firstLine="720"/>
        <w:rPr>
          <w:lang w:val="en-US"/>
        </w:rPr>
      </w:pPr>
      <w:bookmarkStart w:id="10" w:name="_Hlk198848141"/>
      <w:r w:rsidRPr="00BB5391">
        <w:rPr>
          <w:b/>
          <w:bCs/>
          <w:lang w:val="en-US"/>
        </w:rPr>
        <w:lastRenderedPageBreak/>
        <w:t>Framework Elements.</w:t>
      </w:r>
      <w:r>
        <w:rPr>
          <w:lang w:val="en-US"/>
        </w:rPr>
        <w:t xml:space="preserve"> </w:t>
      </w:r>
      <w:r w:rsidR="00ED4BC3">
        <w:rPr>
          <w:lang w:val="en-US"/>
        </w:rPr>
        <w:t>E</w:t>
      </w:r>
      <w:r w:rsidR="003B456E">
        <w:rPr>
          <w:lang w:val="en-US"/>
        </w:rPr>
        <w:t>a</w:t>
      </w:r>
      <w:r w:rsidR="00ED4BC3">
        <w:rPr>
          <w:lang w:val="en-US"/>
        </w:rPr>
        <w:t xml:space="preserve">ch included study was also coded for the presence or absence of the seven effective professional development (PD) elements identified by Darling-Hammond et al. </w:t>
      </w:r>
      <w:r w:rsidR="00682D6F">
        <w:rPr>
          <w:lang w:val="en-US"/>
        </w:rPr>
        <w:fldChar w:fldCharType="begin"/>
      </w:r>
      <w:r w:rsidR="000938F5">
        <w:rPr>
          <w:lang w:val="en-US"/>
        </w:rPr>
        <w:instrText xml:space="preserve"> ADDIN ZOTERO_ITEM CSL_CITATION {"citationID":"u0WJ2KBF","properties":{"formattedCitation":"(2017)","plainCitation":"(2017)","noteIndex":0},"citationItems":[{"id":17626,"uris":["http://zotero.org/users/15409160/items/W46V646W"],"itemData":{"id":17626,"type":"report","language":"en","note":"DOI: 10.54300/122.311","publisher":"Learning Policy Institute","source":"Crossref","title":"Effective teacher professional development","URL":"https://learningpolicyinstitute.org/product/effective-teacher-professional-development-report","author":[{"family":"Darling-Hammond","given":"Linda"},{"family":"Hyler","given":"Maria"},{"family":"Gardner","given":"Madelyn"}],"accessed":{"date-parts":[["2025",5,22]]},"issued":{"date-parts":[["2017",6]]},"citation-key":"darling-hammondEffectiveTeacherProfessional2017"},"suppress-author":true}],"schema":"https://github.com/citation-style-language/schema/raw/master/csl-citation.json"} </w:instrText>
      </w:r>
      <w:r w:rsidR="00682D6F">
        <w:rPr>
          <w:lang w:val="en-US"/>
        </w:rPr>
        <w:fldChar w:fldCharType="separate"/>
      </w:r>
      <w:r w:rsidR="00682D6F">
        <w:rPr>
          <w:noProof/>
          <w:lang w:val="en-US"/>
        </w:rPr>
        <w:t>(2017)</w:t>
      </w:r>
      <w:r w:rsidR="00682D6F">
        <w:rPr>
          <w:lang w:val="en-US"/>
        </w:rPr>
        <w:fldChar w:fldCharType="end"/>
      </w:r>
      <w:r w:rsidR="00ED4BC3">
        <w:rPr>
          <w:lang w:val="en-US"/>
        </w:rPr>
        <w:t xml:space="preserve">. These elements are: (a) </w:t>
      </w:r>
      <w:r w:rsidR="00ED4BC3" w:rsidRPr="00ED7867">
        <w:rPr>
          <w:i/>
          <w:iCs/>
          <w:lang w:val="en-US"/>
        </w:rPr>
        <w:t>Content Focus</w:t>
      </w:r>
      <w:r w:rsidR="00ED4BC3">
        <w:rPr>
          <w:lang w:val="en-US"/>
        </w:rPr>
        <w:t xml:space="preserve">, (b) </w:t>
      </w:r>
      <w:r w:rsidR="00ED4BC3" w:rsidRPr="00ED7867">
        <w:rPr>
          <w:i/>
          <w:iCs/>
          <w:lang w:val="en-US"/>
        </w:rPr>
        <w:t>Active Learning</w:t>
      </w:r>
      <w:r w:rsidR="00ED4BC3">
        <w:rPr>
          <w:lang w:val="en-US"/>
        </w:rPr>
        <w:t xml:space="preserve">, (c) </w:t>
      </w:r>
      <w:r w:rsidR="00ED4BC3" w:rsidRPr="00ED7867">
        <w:rPr>
          <w:i/>
          <w:iCs/>
          <w:lang w:val="en-US"/>
        </w:rPr>
        <w:t>Collaboration</w:t>
      </w:r>
      <w:r w:rsidR="00ED4BC3">
        <w:rPr>
          <w:lang w:val="en-US"/>
        </w:rPr>
        <w:t xml:space="preserve">, (d) </w:t>
      </w:r>
      <w:r w:rsidR="00ED4BC3" w:rsidRPr="00ED7867">
        <w:rPr>
          <w:i/>
          <w:iCs/>
          <w:lang w:val="en-US"/>
        </w:rPr>
        <w:t>Use of Models and Modeling</w:t>
      </w:r>
      <w:r w:rsidR="00ED4BC3">
        <w:rPr>
          <w:lang w:val="en-US"/>
        </w:rPr>
        <w:t xml:space="preserve">, </w:t>
      </w:r>
      <w:r w:rsidR="00ED7867">
        <w:rPr>
          <w:lang w:val="en-US"/>
        </w:rPr>
        <w:t>(e)</w:t>
      </w:r>
      <w:r w:rsidR="00ED4BC3">
        <w:rPr>
          <w:lang w:val="en-US"/>
        </w:rPr>
        <w:t xml:space="preserve"> </w:t>
      </w:r>
      <w:r w:rsidR="00ED4BC3" w:rsidRPr="00ED7867">
        <w:rPr>
          <w:i/>
          <w:iCs/>
          <w:lang w:val="en-US"/>
        </w:rPr>
        <w:t>Coaching/Expert Support</w:t>
      </w:r>
      <w:r w:rsidR="00ED4BC3">
        <w:rPr>
          <w:lang w:val="en-US"/>
        </w:rPr>
        <w:t xml:space="preserve">, (f) </w:t>
      </w:r>
      <w:r w:rsidR="00ED4BC3" w:rsidRPr="00ED7867">
        <w:rPr>
          <w:i/>
          <w:iCs/>
          <w:lang w:val="en-US"/>
        </w:rPr>
        <w:t>Feedback and Reflection</w:t>
      </w:r>
      <w:r w:rsidR="00ED4BC3">
        <w:rPr>
          <w:lang w:val="en-US"/>
        </w:rPr>
        <w:t xml:space="preserve">, and (g) </w:t>
      </w:r>
      <w:r w:rsidR="00ED4BC3" w:rsidRPr="00ED7867">
        <w:rPr>
          <w:i/>
          <w:iCs/>
          <w:lang w:val="en-US"/>
        </w:rPr>
        <w:t>Sustained Duration</w:t>
      </w:r>
      <w:r w:rsidR="00ED4BC3">
        <w:rPr>
          <w:lang w:val="en-US"/>
        </w:rPr>
        <w:t xml:space="preserve">. Definitions and examples for each PD element were clearly operationalized based on Darling-Hammond and colleagues’ descriptions and examples (see </w:t>
      </w:r>
      <w:r w:rsidR="00ED4BC3" w:rsidRPr="00682D6F">
        <w:rPr>
          <w:i/>
          <w:iCs/>
          <w:lang w:val="en-US"/>
        </w:rPr>
        <w:t>Table 1</w:t>
      </w:r>
      <w:r w:rsidR="00ED4BC3">
        <w:rPr>
          <w:lang w:val="en-US"/>
        </w:rPr>
        <w:t>).</w:t>
      </w:r>
    </w:p>
    <w:bookmarkEnd w:id="9"/>
    <w:bookmarkEnd w:id="10"/>
    <w:p w14:paraId="39139582" w14:textId="77777777" w:rsidR="00573F5F" w:rsidRDefault="004061F7" w:rsidP="00E0546B">
      <w:pPr>
        <w:spacing w:line="480" w:lineRule="auto"/>
        <w:ind w:firstLine="720"/>
        <w:rPr>
          <w:lang w:val="en-US"/>
        </w:rPr>
      </w:pPr>
      <w:r w:rsidRPr="33513164">
        <w:rPr>
          <w:lang w:val="en-US"/>
        </w:rPr>
        <w:t>We also coded o</w:t>
      </w:r>
      <w:r w:rsidR="00AC7741" w:rsidRPr="33513164">
        <w:rPr>
          <w:lang w:val="en-US"/>
        </w:rPr>
        <w:t xml:space="preserve">rdinal </w:t>
      </w:r>
      <w:r w:rsidR="00FA4B4A" w:rsidRPr="33513164">
        <w:rPr>
          <w:lang w:val="en-US"/>
        </w:rPr>
        <w:t xml:space="preserve">data </w:t>
      </w:r>
      <w:r w:rsidR="000E4DE4" w:rsidRPr="33513164">
        <w:rPr>
          <w:lang w:val="en-US"/>
        </w:rPr>
        <w:t>for</w:t>
      </w:r>
      <w:r w:rsidR="00FA4B4A" w:rsidRPr="33513164">
        <w:rPr>
          <w:lang w:val="en-US"/>
        </w:rPr>
        <w:t xml:space="preserve"> </w:t>
      </w:r>
      <w:r w:rsidR="007E1E7E" w:rsidRPr="33513164">
        <w:rPr>
          <w:lang w:val="en-US"/>
        </w:rPr>
        <w:t xml:space="preserve">the </w:t>
      </w:r>
      <w:r w:rsidR="00FA4B4A" w:rsidRPr="33513164">
        <w:rPr>
          <w:lang w:val="en-US"/>
        </w:rPr>
        <w:t xml:space="preserve">variables </w:t>
      </w:r>
      <w:r w:rsidR="000E4DE4" w:rsidRPr="33513164">
        <w:rPr>
          <w:lang w:val="en-US"/>
        </w:rPr>
        <w:t>hours</w:t>
      </w:r>
      <w:r w:rsidR="00AC7741" w:rsidRPr="33513164">
        <w:rPr>
          <w:lang w:val="en-US"/>
        </w:rPr>
        <w:t xml:space="preserve"> </w:t>
      </w:r>
      <w:r w:rsidR="000E4DE4" w:rsidRPr="33513164">
        <w:rPr>
          <w:lang w:val="en-US"/>
        </w:rPr>
        <w:t xml:space="preserve">participants </w:t>
      </w:r>
      <w:r w:rsidR="00AC7741" w:rsidRPr="33513164">
        <w:rPr>
          <w:lang w:val="en-US"/>
        </w:rPr>
        <w:t>spent</w:t>
      </w:r>
      <w:r w:rsidR="00A047B6" w:rsidRPr="33513164">
        <w:rPr>
          <w:lang w:val="en-US"/>
        </w:rPr>
        <w:t xml:space="preserve"> on PD </w:t>
      </w:r>
      <w:r w:rsidR="00E74D2D" w:rsidRPr="33513164">
        <w:rPr>
          <w:lang w:val="en-US"/>
        </w:rPr>
        <w:t>in hours, the number of weeks the PD intervention spanned, and the total number of sessions</w:t>
      </w:r>
      <w:r w:rsidR="000E4DE4" w:rsidRPr="33513164">
        <w:rPr>
          <w:lang w:val="en-US"/>
        </w:rPr>
        <w:t xml:space="preserve">. </w:t>
      </w:r>
      <w:r w:rsidRPr="33513164">
        <w:rPr>
          <w:lang w:val="en-US"/>
        </w:rPr>
        <w:t>The author's</w:t>
      </w:r>
      <w:r w:rsidR="009A33F1" w:rsidRPr="33513164">
        <w:rPr>
          <w:lang w:val="en-US"/>
        </w:rPr>
        <w:t xml:space="preserve"> report of </w:t>
      </w:r>
      <w:r w:rsidR="00FF49A8" w:rsidRPr="33513164">
        <w:rPr>
          <w:lang w:val="en-US"/>
        </w:rPr>
        <w:t xml:space="preserve">any follow-up or ongoing support provided </w:t>
      </w:r>
      <w:r w:rsidR="00854497" w:rsidRPr="33513164">
        <w:rPr>
          <w:lang w:val="en-US"/>
        </w:rPr>
        <w:t xml:space="preserve">to participants </w:t>
      </w:r>
      <w:r w:rsidR="00FF49A8" w:rsidRPr="33513164">
        <w:rPr>
          <w:lang w:val="en-US"/>
        </w:rPr>
        <w:t xml:space="preserve">after the planned intervention was </w:t>
      </w:r>
      <w:r w:rsidR="00682D6F">
        <w:rPr>
          <w:lang w:val="en-US"/>
        </w:rPr>
        <w:t xml:space="preserve">coded </w:t>
      </w:r>
      <w:r w:rsidR="00682D6F" w:rsidRPr="33513164">
        <w:rPr>
          <w:lang w:val="en-US"/>
        </w:rPr>
        <w:t>dichotomously</w:t>
      </w:r>
      <w:r w:rsidR="00FF49A8" w:rsidRPr="33513164">
        <w:rPr>
          <w:lang w:val="en-US"/>
        </w:rPr>
        <w:t>.</w:t>
      </w:r>
      <w:r w:rsidRPr="33513164">
        <w:rPr>
          <w:lang w:val="en-US"/>
        </w:rPr>
        <w:t xml:space="preserve"> </w:t>
      </w:r>
      <w:r w:rsidR="00AB5A5B" w:rsidRPr="33513164">
        <w:rPr>
          <w:lang w:val="en-US"/>
        </w:rPr>
        <w:t xml:space="preserve">All variable names, definitions, examples, and non-examples are provided in </w:t>
      </w:r>
      <w:r w:rsidR="00837B75" w:rsidRPr="33513164">
        <w:rPr>
          <w:i/>
          <w:iCs/>
          <w:lang w:val="en-US"/>
        </w:rPr>
        <w:t xml:space="preserve">Table </w:t>
      </w:r>
      <w:r w:rsidR="00F646D8" w:rsidRPr="33513164">
        <w:rPr>
          <w:i/>
          <w:iCs/>
          <w:lang w:val="en-US"/>
        </w:rPr>
        <w:t>2</w:t>
      </w:r>
      <w:r w:rsidR="00AB5A5B" w:rsidRPr="33513164">
        <w:rPr>
          <w:lang w:val="en-US"/>
        </w:rPr>
        <w:t>.</w:t>
      </w:r>
      <w:r w:rsidR="00854497" w:rsidRPr="33513164">
        <w:rPr>
          <w:lang w:val="en-US"/>
        </w:rPr>
        <w:t xml:space="preserve"> </w:t>
      </w:r>
    </w:p>
    <w:p w14:paraId="18165057" w14:textId="1A8DE49F" w:rsidR="00AB5A5B" w:rsidRPr="00F14B34" w:rsidRDefault="00573F5F" w:rsidP="00E0546B">
      <w:pPr>
        <w:spacing w:line="480" w:lineRule="auto"/>
        <w:ind w:firstLine="720"/>
      </w:pPr>
      <w:r>
        <w:rPr>
          <w:b/>
          <w:bCs/>
          <w:lang w:val="en-US"/>
        </w:rPr>
        <w:t xml:space="preserve">Educational Technology. </w:t>
      </w:r>
      <w:r w:rsidR="00157BC8" w:rsidRPr="33513164">
        <w:rPr>
          <w:lang w:val="en-US"/>
        </w:rPr>
        <w:t>The type of</w:t>
      </w:r>
      <w:r w:rsidR="00AB5A5B" w:rsidRPr="33513164">
        <w:rPr>
          <w:lang w:val="en-US"/>
        </w:rPr>
        <w:t xml:space="preserve"> </w:t>
      </w:r>
      <w:r w:rsidR="00E72B65">
        <w:rPr>
          <w:lang w:val="en-US"/>
        </w:rPr>
        <w:t>ET</w:t>
      </w:r>
      <w:r w:rsidR="00AB5A5B" w:rsidRPr="33513164">
        <w:rPr>
          <w:lang w:val="en-US"/>
        </w:rPr>
        <w:t xml:space="preserve"> </w:t>
      </w:r>
      <w:r w:rsidR="00854497" w:rsidRPr="33513164">
        <w:rPr>
          <w:lang w:val="en-US"/>
        </w:rPr>
        <w:t>used</w:t>
      </w:r>
      <w:r w:rsidR="00AB5A5B" w:rsidRPr="33513164">
        <w:rPr>
          <w:lang w:val="en-US"/>
        </w:rPr>
        <w:t xml:space="preserve"> in the intervention</w:t>
      </w:r>
      <w:r w:rsidR="00854497" w:rsidRPr="33513164">
        <w:rPr>
          <w:lang w:val="en-US"/>
        </w:rPr>
        <w:t>,</w:t>
      </w:r>
      <w:r w:rsidR="00AB5A5B" w:rsidRPr="33513164">
        <w:rPr>
          <w:lang w:val="en-US"/>
        </w:rPr>
        <w:t xml:space="preserve"> as reported by study authors</w:t>
      </w:r>
      <w:r w:rsidR="00854497" w:rsidRPr="33513164">
        <w:rPr>
          <w:lang w:val="en-US"/>
        </w:rPr>
        <w:t>,</w:t>
      </w:r>
      <w:r w:rsidR="00AB5A5B" w:rsidRPr="33513164">
        <w:rPr>
          <w:lang w:val="en-US"/>
        </w:rPr>
        <w:t xml:space="preserve"> </w:t>
      </w:r>
      <w:r w:rsidR="00157BC8" w:rsidRPr="33513164">
        <w:rPr>
          <w:lang w:val="en-US"/>
        </w:rPr>
        <w:t xml:space="preserve">was </w:t>
      </w:r>
      <w:r w:rsidR="00AB5A5B" w:rsidRPr="33513164">
        <w:rPr>
          <w:lang w:val="en-US"/>
        </w:rPr>
        <w:t>coded categorically</w:t>
      </w:r>
      <w:r w:rsidR="00157BC8" w:rsidRPr="33513164">
        <w:rPr>
          <w:lang w:val="en-US"/>
        </w:rPr>
        <w:t xml:space="preserve"> as (</w:t>
      </w:r>
      <w:r w:rsidR="00682D6F">
        <w:rPr>
          <w:lang w:val="en-US"/>
        </w:rPr>
        <w:t>a</w:t>
      </w:r>
      <w:r w:rsidR="00157BC8" w:rsidRPr="33513164">
        <w:rPr>
          <w:lang w:val="en-US"/>
        </w:rPr>
        <w:t>) h</w:t>
      </w:r>
      <w:r w:rsidR="00AB5A5B" w:rsidRPr="33513164">
        <w:rPr>
          <w:lang w:val="en-US"/>
        </w:rPr>
        <w:t xml:space="preserve">ardware and </w:t>
      </w:r>
      <w:r w:rsidR="00157BC8" w:rsidRPr="33513164">
        <w:rPr>
          <w:lang w:val="en-US"/>
        </w:rPr>
        <w:t>(</w:t>
      </w:r>
      <w:r w:rsidR="00682D6F">
        <w:rPr>
          <w:lang w:val="en-US"/>
        </w:rPr>
        <w:t>b</w:t>
      </w:r>
      <w:r w:rsidR="00157BC8" w:rsidRPr="33513164">
        <w:rPr>
          <w:lang w:val="en-US"/>
        </w:rPr>
        <w:t>) s</w:t>
      </w:r>
      <w:r w:rsidR="00AB5A5B" w:rsidRPr="33513164">
        <w:rPr>
          <w:lang w:val="en-US"/>
        </w:rPr>
        <w:t>oftware</w:t>
      </w:r>
      <w:r w:rsidR="00157BC8" w:rsidRPr="33513164">
        <w:rPr>
          <w:lang w:val="en-US"/>
        </w:rPr>
        <w:t xml:space="preserve">. Categories of hardware and software, definitions, </w:t>
      </w:r>
      <w:r w:rsidR="00AB5A5B" w:rsidRPr="33513164">
        <w:rPr>
          <w:lang w:val="en-US"/>
        </w:rPr>
        <w:t xml:space="preserve">examples, and non-examples are provided in </w:t>
      </w:r>
      <w:r w:rsidR="00837B75" w:rsidRPr="33513164">
        <w:rPr>
          <w:i/>
          <w:iCs/>
          <w:lang w:val="en-US"/>
        </w:rPr>
        <w:t xml:space="preserve">Table </w:t>
      </w:r>
      <w:r w:rsidR="00F646D8" w:rsidRPr="33513164">
        <w:rPr>
          <w:i/>
          <w:iCs/>
          <w:lang w:val="en-US"/>
        </w:rPr>
        <w:t>3</w:t>
      </w:r>
      <w:r w:rsidR="00AB5A5B" w:rsidRPr="33513164">
        <w:rPr>
          <w:lang w:val="en-US"/>
        </w:rPr>
        <w:t>.</w:t>
      </w:r>
    </w:p>
    <w:p w14:paraId="2B14DADF" w14:textId="26E9B6AE" w:rsidR="00AB5A5B" w:rsidRPr="00F14B34" w:rsidRDefault="00AB5A5B" w:rsidP="00A16ACD">
      <w:pPr>
        <w:pStyle w:val="Heading2"/>
        <w:rPr>
          <w:b w:val="0"/>
        </w:rPr>
      </w:pPr>
      <w:r w:rsidRPr="00F14B34">
        <w:t xml:space="preserve">Reliability </w:t>
      </w:r>
      <w:r w:rsidR="007E5C19" w:rsidRPr="00330C3A">
        <w:rPr>
          <w:bCs w:val="0"/>
        </w:rPr>
        <w:t>Estimations</w:t>
      </w:r>
    </w:p>
    <w:p w14:paraId="606E1189" w14:textId="25EC2A57" w:rsidR="00E34CFF" w:rsidRPr="00F14B34" w:rsidRDefault="00824B75" w:rsidP="00E0546B">
      <w:pPr>
        <w:spacing w:line="480" w:lineRule="auto"/>
        <w:ind w:firstLine="720"/>
        <w:rPr>
          <w:lang w:val="en-US"/>
        </w:rPr>
      </w:pPr>
      <w:r w:rsidRPr="33513164">
        <w:rPr>
          <w:lang w:val="en-US"/>
        </w:rPr>
        <w:t xml:space="preserve">This </w:t>
      </w:r>
      <w:r w:rsidR="00FC6ACB">
        <w:rPr>
          <w:lang w:val="en-US"/>
        </w:rPr>
        <w:t>section will discuss reliability measures, which will be added once appropriate certification and review information becomes</w:t>
      </w:r>
      <w:r w:rsidR="00AB5A5B" w:rsidRPr="33513164">
        <w:rPr>
          <w:lang w:val="en-US"/>
        </w:rPr>
        <w:t xml:space="preserve"> </w:t>
      </w:r>
      <w:r w:rsidR="003A6EDE" w:rsidRPr="33513164">
        <w:rPr>
          <w:lang w:val="en-US"/>
        </w:rPr>
        <w:t>available.</w:t>
      </w:r>
      <w:r w:rsidR="00B40C1B">
        <w:rPr>
          <w:lang w:val="en-US"/>
        </w:rPr>
        <w:t xml:space="preserve"> </w:t>
      </w:r>
      <w:r w:rsidR="00E34CFF" w:rsidRPr="00F14B34">
        <w:rPr>
          <w:lang w:val="en-US"/>
        </w:rPr>
        <w:t>A</w:t>
      </w:r>
      <w:r w:rsidR="00B40C1B">
        <w:rPr>
          <w:lang w:val="en-US"/>
        </w:rPr>
        <w:t xml:space="preserve"> secondary coder will examine 33% of the articles </w:t>
      </w:r>
      <w:r w:rsidR="00E34CFF" w:rsidRPr="00F14B34">
        <w:rPr>
          <w:lang w:val="en-US"/>
        </w:rPr>
        <w:t xml:space="preserve">for </w:t>
      </w:r>
      <w:r w:rsidR="00B40C1B">
        <w:rPr>
          <w:lang w:val="en-US"/>
        </w:rPr>
        <w:t xml:space="preserve">all </w:t>
      </w:r>
      <w:r w:rsidR="00E34CFF" w:rsidRPr="00F14B34">
        <w:rPr>
          <w:lang w:val="en-US"/>
        </w:rPr>
        <w:t>descriptive coding</w:t>
      </w:r>
      <w:r w:rsidR="00B40C1B">
        <w:rPr>
          <w:lang w:val="en-US"/>
        </w:rPr>
        <w:t xml:space="preserve"> variables</w:t>
      </w:r>
      <w:r w:rsidR="00E34CFF" w:rsidRPr="00F14B34">
        <w:rPr>
          <w:lang w:val="en-US"/>
        </w:rPr>
        <w:t xml:space="preserve"> (participants, setting, implementers)</w:t>
      </w:r>
      <w:r w:rsidR="00B40C1B">
        <w:rPr>
          <w:lang w:val="en-US"/>
        </w:rPr>
        <w:t>. The primary and secondary coders should meet or exceed 90% agreement of coded variables.</w:t>
      </w:r>
    </w:p>
    <w:p w14:paraId="5FED7BD5" w14:textId="4CEC354A" w:rsidR="00E34CFF" w:rsidRPr="00F14B34" w:rsidRDefault="00A40F12" w:rsidP="00E0546B">
      <w:pPr>
        <w:spacing w:line="480" w:lineRule="auto"/>
        <w:ind w:firstLine="720"/>
      </w:pPr>
      <w:r w:rsidRPr="00F14B34">
        <w:rPr>
          <w:lang w:val="en-US"/>
        </w:rPr>
        <w:t>Reliability data for the search and screening process, as well as the coding process, w</w:t>
      </w:r>
      <w:r w:rsidR="00B40C1B">
        <w:rPr>
          <w:lang w:val="en-US"/>
        </w:rPr>
        <w:t>ill be</w:t>
      </w:r>
      <w:r w:rsidRPr="00F14B34">
        <w:rPr>
          <w:lang w:val="en-US"/>
        </w:rPr>
        <w:t xml:space="preserve"> collected </w:t>
      </w:r>
      <w:r w:rsidR="00B40C1B">
        <w:rPr>
          <w:lang w:val="en-US"/>
        </w:rPr>
        <w:t xml:space="preserve">and assessed </w:t>
      </w:r>
      <w:r w:rsidRPr="00F14B34">
        <w:rPr>
          <w:lang w:val="en-US"/>
        </w:rPr>
        <w:t xml:space="preserve">for 33% of </w:t>
      </w:r>
      <w:r w:rsidR="00B40C1B">
        <w:rPr>
          <w:lang w:val="en-US"/>
        </w:rPr>
        <w:t>records.</w:t>
      </w:r>
    </w:p>
    <w:p w14:paraId="0FAF88AC" w14:textId="762B1458" w:rsidR="0071613F" w:rsidRDefault="0071613F" w:rsidP="00E0546B">
      <w:pPr>
        <w:spacing w:line="480" w:lineRule="auto"/>
        <w:ind w:firstLine="720"/>
      </w:pPr>
      <w:r w:rsidRPr="00F14B34">
        <w:t>Discrepancies</w:t>
      </w:r>
      <w:r w:rsidR="00B40C1B">
        <w:t xml:space="preserve"> in primary and secondary coding will be</w:t>
      </w:r>
      <w:r w:rsidRPr="00F14B34">
        <w:t xml:space="preserve"> resolved through discussion with </w:t>
      </w:r>
      <w:r w:rsidR="00CF4A08">
        <w:t>the</w:t>
      </w:r>
      <w:r w:rsidRPr="00F14B34">
        <w:t xml:space="preserve"> second coder or the lead reviewer</w:t>
      </w:r>
      <w:r w:rsidR="00B40C1B">
        <w:t>.</w:t>
      </w:r>
    </w:p>
    <w:p w14:paraId="7D0EBDA5" w14:textId="77777777" w:rsidR="00403D84" w:rsidRPr="00A16ACD" w:rsidRDefault="00403D84" w:rsidP="00A16ACD">
      <w:pPr>
        <w:pStyle w:val="Heading1"/>
      </w:pPr>
      <w:r w:rsidRPr="00A16ACD">
        <w:lastRenderedPageBreak/>
        <w:t>Results</w:t>
      </w:r>
    </w:p>
    <w:p w14:paraId="398E70B5" w14:textId="5DBC24B4" w:rsidR="00403D84" w:rsidRDefault="00403D84" w:rsidP="00E0546B">
      <w:pPr>
        <w:spacing w:line="480" w:lineRule="auto"/>
        <w:ind w:firstLine="720"/>
      </w:pPr>
      <w:r>
        <w:t>The o</w:t>
      </w:r>
      <w:r w:rsidRPr="00BB1581">
        <w:t>verall findings are organized as follows</w:t>
      </w:r>
      <w:r>
        <w:t>:</w:t>
      </w:r>
      <w:r w:rsidRPr="00BB1581">
        <w:t xml:space="preserve"> First, </w:t>
      </w:r>
      <w:r>
        <w:t xml:space="preserve">we detail the results of our search and screening procedure. Second, </w:t>
      </w:r>
      <w:r w:rsidRPr="00BB1581">
        <w:t>we present participant demographics</w:t>
      </w:r>
      <w:r>
        <w:t>.</w:t>
      </w:r>
      <w:r w:rsidRPr="00BB1581">
        <w:t xml:space="preserve"> Next, we describe </w:t>
      </w:r>
      <w:r>
        <w:t>the participant</w:t>
      </w:r>
      <w:r w:rsidR="003A6EDE">
        <w:t>s’</w:t>
      </w:r>
      <w:r w:rsidRPr="00BB1581">
        <w:t xml:space="preserve"> school settings</w:t>
      </w:r>
      <w:r>
        <w:t>.</w:t>
      </w:r>
      <w:r w:rsidRPr="00BB1581">
        <w:t xml:space="preserve"> Then, we detail the</w:t>
      </w:r>
      <w:r>
        <w:t xml:space="preserve"> agents responsible for intervention. Finally, we discuss the specific</w:t>
      </w:r>
      <w:r w:rsidRPr="00BB1581">
        <w:t xml:space="preserve"> </w:t>
      </w:r>
      <w:r w:rsidR="005B6A26">
        <w:t>PD</w:t>
      </w:r>
      <w:r w:rsidRPr="00BB1581">
        <w:t xml:space="preserve"> </w:t>
      </w:r>
      <w:r>
        <w:t>formats used and</w:t>
      </w:r>
      <w:r w:rsidRPr="00BB1581">
        <w:t xml:space="preserve"> examine the hardware and software</w:t>
      </w:r>
      <w:r>
        <w:t xml:space="preserve"> tools taught during PD</w:t>
      </w:r>
      <w:r w:rsidRPr="00BB1581">
        <w:t xml:space="preserve">. </w:t>
      </w:r>
    </w:p>
    <w:p w14:paraId="28869CB5" w14:textId="77777777" w:rsidR="00403D84" w:rsidRPr="00F54A6E" w:rsidRDefault="00403D84" w:rsidP="00572B2E">
      <w:pPr>
        <w:pStyle w:val="Heading2"/>
      </w:pPr>
      <w:r w:rsidRPr="00F54A6E">
        <w:t>Search and Screening Procedure</w:t>
      </w:r>
    </w:p>
    <w:p w14:paraId="4F369422" w14:textId="7B25F82B" w:rsidR="00403D84" w:rsidRDefault="00403D84" w:rsidP="00E0546B">
      <w:pPr>
        <w:spacing w:line="480" w:lineRule="auto"/>
        <w:ind w:firstLine="720"/>
      </w:pPr>
      <w:r w:rsidRPr="33513164">
        <w:rPr>
          <w:lang w:val="en-US"/>
        </w:rPr>
        <w:t xml:space="preserve">The search and screening process followed the PRISMA process </w:t>
      </w:r>
      <w:r w:rsidR="004F0C06">
        <w:rPr>
          <w:lang w:val="en-US"/>
        </w:rPr>
        <w:fldChar w:fldCharType="begin"/>
      </w:r>
      <w:r w:rsidR="004F0C06">
        <w:rPr>
          <w:lang w:val="en-US"/>
        </w:rPr>
        <w:instrText xml:space="preserve"> ADDIN ZOTERO_ITEM CSL_CITATION {"citationID":"k4hXZgNT","properties":{"formattedCitation":"(Page et al., 2021)","plainCitation":"(Page et al., 2021)","noteIndex":0},"citationItems":[{"id":791,"uris":["http://zotero.org/users/15409160/items/DJ8ZM98D"],"itemData":{"id":791,"type":"article-journal","container-title":"PLOS Medicine","DOI":"10.1371/journal.pmed.1003583","ISSN":"1549-1676","issue":"3","journalAbbreviation":"PLoS Med","language":"en","note":"TLDR: PRISMA 2020, an updated reporting guideline for systematic reviews and meta-analyses, is described, which aims to provide an updated standard for evaluating the quality of systematic reviews in the literature.","page":"e1003583","source":"DOI.org (Crossref)","title":"The PRISMA 2020 statement: An updated guideline for reporting systematic reviews","title-short":"The PRISMA 2020 statement","URL":"https://dx.plos.org/10.1371/journal.pmed.1003583","volume":"18","author":[{"family":"Page","given":"Matthew J."},{"family":"McKenzie","given":"Joanne E."},{"family":"Bossuyt","given":"Patrick M."},{"family":"Boutron","given":"Isabelle"},{"family":"Hoffmann","given":"Tammy C."},{"family":"Mulrow","given":"Cynthia D."},{"family":"Shamseer","given":"Larissa"},{"family":"Tetzlaff","given":"Jennifer M."},{"family":"Akl","given":"Elie A."},{"family":"Brennan","given":"Sue E."},{"family":"Chou","given":"Roger"},{"family":"Glanville","given":"Julie"},{"family":"Grimshaw","given":"Jeremy M."},{"family":"Hróbjartsson","given":"Asbjørn"},{"family":"Lalu","given":"Manoj M."},{"family":"Li","given":"Tianjing"},{"family":"Loder","given":"Elizabeth W."},{"family":"Mayo-Wilson","given":"Evan"},{"family":"McDonald","given":"Steve"},{"family":"McGuinness","given":"Luke A."},{"family":"Stewart","given":"Lesley A."},{"family":"Thomas","given":"James"},{"family":"Tricco","given":"Andrea C."},{"family":"Welch","given":"Vivian A."},{"family":"Whiting","given":"Penny"},{"family":"Moher","given":"David"}],"accessed":{"date-parts":[["2024",10,18]]},"issued":{"date-parts":[["2021",3,29]]},"citation-key":"pagePRISMA2020Statement2021"}}],"schema":"https://github.com/citation-style-language/schema/raw/master/csl-citation.json"} </w:instrText>
      </w:r>
      <w:r w:rsidR="004F0C06">
        <w:rPr>
          <w:lang w:val="en-US"/>
        </w:rPr>
        <w:fldChar w:fldCharType="separate"/>
      </w:r>
      <w:r w:rsidR="004F0C06">
        <w:rPr>
          <w:noProof/>
          <w:lang w:val="en-US"/>
        </w:rPr>
        <w:t>(Page et al., 2021)</w:t>
      </w:r>
      <w:r w:rsidR="004F0C06">
        <w:rPr>
          <w:lang w:val="en-US"/>
        </w:rPr>
        <w:fldChar w:fldCharType="end"/>
      </w:r>
      <w:r w:rsidRPr="33513164">
        <w:rPr>
          <w:lang w:val="en-US"/>
        </w:rPr>
        <w:t xml:space="preserve"> for a total of 1,844 records found through database and hand searches. Of these, 377 records were retrieved from database searches, and 1,467 records were later retrieved for hand search from relevant special education technology journals: (1) the </w:t>
      </w:r>
      <w:r w:rsidRPr="33513164">
        <w:rPr>
          <w:i/>
          <w:iCs/>
          <w:lang w:val="en-US"/>
        </w:rPr>
        <w:t xml:space="preserve">Journal of Technology and Teacher Education </w:t>
      </w:r>
      <w:r w:rsidRPr="33513164">
        <w:rPr>
          <w:lang w:val="en-US"/>
        </w:rPr>
        <w:t xml:space="preserve">(JTATE) and (2) the </w:t>
      </w:r>
      <w:r w:rsidRPr="33513164">
        <w:rPr>
          <w:i/>
          <w:iCs/>
          <w:lang w:val="en-US"/>
        </w:rPr>
        <w:t>Journal of Special Education Technology</w:t>
      </w:r>
      <w:r w:rsidRPr="33513164">
        <w:rPr>
          <w:lang w:val="en-US"/>
        </w:rPr>
        <w:t xml:space="preserve"> (JSET). </w:t>
      </w:r>
    </w:p>
    <w:p w14:paraId="7BDDC805" w14:textId="1ED5C3E7" w:rsidR="00403D84" w:rsidRDefault="00403D84" w:rsidP="00E0546B">
      <w:pPr>
        <w:spacing w:line="480" w:lineRule="auto"/>
        <w:ind w:firstLine="720"/>
      </w:pPr>
      <w:r w:rsidRPr="33513164">
        <w:rPr>
          <w:lang w:val="en-US"/>
        </w:rPr>
        <w:t>After removing duplicates (</w:t>
      </w:r>
      <m:oMath>
        <m:r>
          <w:rPr>
            <w:rFonts w:ascii="Cambria Math" w:hAnsi="Cambria Math"/>
          </w:rPr>
          <m:t>n=30</m:t>
        </m:r>
      </m:oMath>
      <w:r w:rsidRPr="33513164">
        <w:rPr>
          <w:lang w:val="en-US"/>
        </w:rPr>
        <w:t xml:space="preserve">), </w:t>
      </w:r>
      <m:oMath>
        <m:r>
          <w:rPr>
            <w:rFonts w:ascii="Cambria Math" w:hAnsi="Cambria Math"/>
          </w:rPr>
          <m:t>347</m:t>
        </m:r>
      </m:oMath>
      <w:r w:rsidRPr="33513164">
        <w:rPr>
          <w:lang w:val="en-US"/>
        </w:rPr>
        <w:t xml:space="preserve"> database records remained. After exclusions from the TAS screening </w:t>
      </w:r>
      <m:oMath>
        <m:r>
          <w:rPr>
            <w:rFonts w:ascii="Cambria Math" w:hAnsi="Cambria Math"/>
          </w:rPr>
          <m:t>(n=245)</m:t>
        </m:r>
      </m:oMath>
      <w:r w:rsidRPr="33513164">
        <w:rPr>
          <w:lang w:val="en-US"/>
        </w:rPr>
        <w:t xml:space="preserve"> and inaccessible records </w:t>
      </w:r>
      <m:oMath>
        <m:r>
          <w:rPr>
            <w:rFonts w:ascii="Cambria Math" w:hAnsi="Cambria Math"/>
          </w:rPr>
          <m:t>(n=23)</m:t>
        </m:r>
      </m:oMath>
      <w:r w:rsidRPr="33513164">
        <w:rPr>
          <w:lang w:val="en-US"/>
        </w:rPr>
        <w:t xml:space="preserve">, the authors examined the full text of </w:t>
      </w:r>
      <m:oMath>
        <m:r>
          <w:rPr>
            <w:rFonts w:ascii="Cambria Math" w:hAnsi="Cambria Math"/>
          </w:rPr>
          <m:t>49</m:t>
        </m:r>
      </m:oMath>
      <w:r w:rsidRPr="33513164">
        <w:rPr>
          <w:lang w:val="en-US"/>
        </w:rPr>
        <w:t xml:space="preserve"> database records against exclusion and inclusion criteria for eligibility. Initially, </w:t>
      </w:r>
      <m:oMath>
        <m:r>
          <w:rPr>
            <w:rFonts w:ascii="Cambria Math" w:hAnsi="Cambria Math"/>
          </w:rPr>
          <m:t>12</m:t>
        </m:r>
      </m:oMath>
      <w:r w:rsidRPr="33513164">
        <w:rPr>
          <w:lang w:val="en-US"/>
        </w:rPr>
        <w:t xml:space="preserve"> database records made it through this screening stage to be included in the review. All hand-searched journal records were sought and retrieved from official journal websites and assessed for eligibility in one stage. Initially, eight records passed </w:t>
      </w:r>
      <w:r w:rsidR="00D76AE2" w:rsidRPr="33513164">
        <w:rPr>
          <w:lang w:val="en-US"/>
        </w:rPr>
        <w:t xml:space="preserve">screening </w:t>
      </w:r>
      <w:r w:rsidRPr="33513164">
        <w:rPr>
          <w:lang w:val="en-US"/>
        </w:rPr>
        <w:t xml:space="preserve">to be included in this review. As primary descriptive coding began, an added screening round was conducted to ensure no studies were erroneously included in the review. More records </w:t>
      </w:r>
      <m:oMath>
        <m:r>
          <w:rPr>
            <w:rFonts w:ascii="Cambria Math" w:hAnsi="Cambria Math"/>
          </w:rPr>
          <m:t xml:space="preserve">(n = 9) </m:t>
        </m:r>
      </m:oMath>
      <w:r w:rsidRPr="33513164">
        <w:rPr>
          <w:lang w:val="en-US"/>
        </w:rPr>
        <w:t xml:space="preserve">were excluded in this final round of screening. This left </w:t>
      </w:r>
      <m:oMath>
        <m:r>
          <w:rPr>
            <w:rFonts w:ascii="Cambria Math" w:hAnsi="Cambria Math"/>
          </w:rPr>
          <m:t>11</m:t>
        </m:r>
      </m:oMath>
      <w:r w:rsidRPr="33513164">
        <w:rPr>
          <w:lang w:val="en-US"/>
        </w:rPr>
        <w:t xml:space="preserve"> articles to be reviewed, from database search </w:t>
      </w:r>
      <m:oMath>
        <m:r>
          <w:rPr>
            <w:rFonts w:ascii="Cambria Math" w:hAnsi="Cambria Math"/>
          </w:rPr>
          <m:t>(n = 10)</m:t>
        </m:r>
      </m:oMath>
      <w:r w:rsidRPr="33513164">
        <w:rPr>
          <w:lang w:val="en-US"/>
        </w:rPr>
        <w:t xml:space="preserve"> and hand search </w:t>
      </w:r>
      <m:oMath>
        <m:r>
          <w:rPr>
            <w:rFonts w:ascii="Cambria Math" w:hAnsi="Cambria Math"/>
          </w:rPr>
          <m:t>(n = 1)</m:t>
        </m:r>
      </m:oMath>
      <w:r w:rsidRPr="33513164">
        <w:rPr>
          <w:lang w:val="en-US"/>
        </w:rPr>
        <w:t xml:space="preserve">. The PRISMA diagram in </w:t>
      </w:r>
      <w:r w:rsidRPr="003F65F5">
        <w:rPr>
          <w:i/>
          <w:iCs/>
          <w:lang w:val="en-US"/>
        </w:rPr>
        <w:t>Figure 1</w:t>
      </w:r>
      <w:r w:rsidRPr="33513164">
        <w:rPr>
          <w:lang w:val="en-US"/>
        </w:rPr>
        <w:t xml:space="preserve"> provides a detailed overview of the identification, screening, and inclusion process for database and hand searches. Full coded </w:t>
      </w:r>
      <w:r w:rsidRPr="33513164">
        <w:rPr>
          <w:lang w:val="en-US"/>
        </w:rPr>
        <w:lastRenderedPageBreak/>
        <w:t xml:space="preserve">results data is available in the supplemental resources found on Open Science Framework (OSF): </w:t>
      </w:r>
      <w:hyperlink r:id="rId13" w:history="1">
        <w:r w:rsidRPr="33513164">
          <w:rPr>
            <w:rStyle w:val="Hyperlink"/>
            <w:color w:val="000000" w:themeColor="text1"/>
            <w:lang w:val="en-US"/>
          </w:rPr>
          <w:t>https://justman.fyi/PDonETinSPED-Review</w:t>
        </w:r>
      </w:hyperlink>
      <w:r w:rsidRPr="33513164">
        <w:rPr>
          <w:lang w:val="en-US"/>
        </w:rPr>
        <w:t>.</w:t>
      </w:r>
    </w:p>
    <w:p w14:paraId="064F68B2" w14:textId="77777777" w:rsidR="00403D84" w:rsidRPr="00944545" w:rsidRDefault="00403D84" w:rsidP="00944545">
      <w:pPr>
        <w:pStyle w:val="Heading2"/>
      </w:pPr>
      <w:r w:rsidRPr="00944545">
        <w:t xml:space="preserve">Descriptive Coding </w:t>
      </w:r>
    </w:p>
    <w:p w14:paraId="14CBFD87" w14:textId="77777777" w:rsidR="00403D84" w:rsidRPr="00D15BA7" w:rsidRDefault="00403D84" w:rsidP="00E0546B">
      <w:pPr>
        <w:pStyle w:val="Heading3"/>
        <w:spacing w:line="480" w:lineRule="auto"/>
      </w:pPr>
      <w:r w:rsidRPr="00D15BA7">
        <w:t>Study Design</w:t>
      </w:r>
      <w:r>
        <w:t>s</w:t>
      </w:r>
    </w:p>
    <w:p w14:paraId="16B26C04" w14:textId="5EBF02E7" w:rsidR="00403D84" w:rsidRDefault="00403D84" w:rsidP="00E0546B">
      <w:pPr>
        <w:spacing w:line="480" w:lineRule="auto"/>
        <w:ind w:firstLine="720"/>
      </w:pPr>
      <w:r w:rsidRPr="33513164">
        <w:rPr>
          <w:lang w:val="en-US"/>
        </w:rPr>
        <w:t xml:space="preserve">Seven articles in this review used case study designs </w:t>
      </w:r>
      <w:r w:rsidR="00070640">
        <w:rPr>
          <w:lang w:val="en-US"/>
        </w:rPr>
        <w:fldChar w:fldCharType="begin"/>
      </w:r>
      <w:r w:rsidR="000938F5">
        <w:rPr>
          <w:lang w:val="en-US"/>
        </w:rPr>
        <w:instrText xml:space="preserve"> ADDIN ZOTERO_ITEM CSL_CITATION {"citationID":"g2svgeiX","properties":{"formattedCitation":"(Cain, 2018; Ciampa, 2017; Courduff, 2011; Du &amp; Lyublinskaya, 2022; Gersten &amp; Kelly, 1992; Hollins, 2017; So et al., 2021)","plainCitation":"(Cain, 2018; Ciampa, 2017; Courduff, 2011; Du &amp; Lyublinskaya, 2022; Gersten &amp; Kelly, 1992; Hollins, 2017; So et al., 2021)","noteIndex":0},"citationItems":[{"id":608,"uris":["http://zotero.org/users/15409160/items/EQ8NFZWN"],"itemData":{"id":608,"type":"thesis","abstract":"The most important impact of technology integration is a teachers' ability to use instructional technology tools to enhance student learning. Such teachers focus on integrating basic-level technology skills and avoid going beyond those skills to gain a deeper understanding of best practices when integrating technology with instruction. The purpose of this qualitative study was to explore best practices of teachers in technology integration within instruction based on interviews, observations, and video recordings. The participants consisted of four teachers (including special education) ranging from kindergarten to Grade 5, who taught at the primary level with at least five years of experience, attended professional development for technology instruction, and reached state requirements of use at a Fort Brosse school district. Each participant was interviewed separately using a set of semi-structured questions corresponding to each research question. Results of this study indicated that most primary teachers could successfully integrate technology with instruction at a basic or traditional level. However, they felt integration is time-consuming and intimidating without proper support; this caused contentment with basic training and avoidance of deeper understanding for integration. Two of the participants expressed that they were planning to continue basic integration because they were used to it and only had time for limited tasks. The other participants wanted to seek and introduce advanced skills but were unsure of time constraints and support. The Constant Comparative Analysis Method (CCA) is used to show responses of significant experiences. More research is needed to further identify best practices and investigate effective use and challenges of computer technology to provide resolutions for future enhancements of technology integration within instruction.\n\nAlternate abstract:\nL'impact le plus important de l'intégration de la technologie est la capacité des enseignants à utiliser des outils technologiques pédagogiques pour améliorer l'apprentissage des élèves. Ces enseignants se concentrent sur l'intégration des compétences technologiques de base et évitent d'aller au-delà de ces compétences pour acquérir une meilleure compréhension des meilleures pratiques lors de l'intégration de la technologie avec l'enseignement. Le but de cette étude qualitative était d'explorer les meilleures pratiques des enseignants en matière d'intégration de la technologie dans le cadre d'une instruction basée sur des entretiens, des observations et des enregistrements vidéo. Les participants comprenaient quatre enseignants (y compris l'éducation spéciale) allant de la maternelle à la 5e année, qui enseignaient au niveau primaire avec au moins cinq ans d'expérience, suivaient un perfectionnement professionnel pour l'enseignement de la technologie et répondaient aux exigences de l'État. district. Chaque participant a été interviewé séparément en utilisant un ensemble de questions semi-structurées correspondant à chaque question de recherche. Les résultats de cette étude ont indiqué que la plupart des enseignants du primaire pouvaient réussir à intégrer la technologie à un enseignement de base ou traditionnel. Cependant, ils ont estimé que l'intégration prenait du temps et était intimidante sans un soutien approprié; cela a provoqué le contentement avec une formation de base et l'évitement d'une compréhension plus profonde de l'intégration. Deux des participants ont indiqué qu'ils prévoyaient de poursuivre l'intégration de base parce qu'ils y étaient habitués et n'avaient le temps que pour des tâches limitées. Les autres participants voulaient rechercher et introduire des compétences avancées, mais n'étaient pas certains des contraintes de temps et du soutien. La méthode d'analyse comparative constante (CCA) est utilisée pour montrer les réponses d'expériences significatives. Davantage de recherche est nécessaire pour identifier davantage les meilleures pratiques et étudier l'utilisation efficace et les défis de la technologie informatique pour fournir des solutions pour les futures améliorations de l'intégration de la technologie dans l'enseignement.","archive":"ERIC","archive_location":"2155995253; ED588600","event-place":"United States -- California","genre":"Ed.D.","language":"English","license":"Database copyright ProQuest LLC; ProQuest does not claim copyright in the individual underlying works.","note":"ISBN: 9780438322493","number-of-pages":"125","publisher":"Northcentral University","publisher-place":"United States -- California","source":"ProQuest","title":"A case study on best practices of technology integration within instruction","URL":"https://www.proquest.com/docview/2101642611/abstract/C217C82D1DCE47B5PQ/1","author":[{"family":"Cain","given":"Tia"}],"accessed":{"date-parts":[["2024",10,14]]},"issued":{"date-parts":[["2018"]]},"citation-key":"cainCaseStudyBest2018"}},{"id":16288,"uris":["http://zotero.org/users/15409160/items/9LP2UI7Y"],"itemData":{"id":16288,"type":"article-journal","abstract":"This single-site case study describes the outcomes and lessons learned from the implementation of a technology professional development initiative aimed at helping three special education teachers from an urban elementary school learn how to infuse technology in their content literacy instruction. Three types of qualitative data were collected: (a) researcher`s anecdotal notes during the professional learning sessions; (b) teachers’ reﬂection blog entries; and (c) student artifacts (i.e., digital exit tickets, student work samples). The impact of the technology professional development on teachers’ self-eﬃcacy beliefs and Technological Pedagogical Content Knowledge for content literacy instruction, changes in teachers’ content literacy instructional and assessment practices, and the inﬂuence of teachers’ technology professional development on the content literacy learning of students with disabilities are discussed. Recommendations for future professional development programs focused on technology are oﬀered. This study has important implications for urban, high-needs students who need to have equitable access to 21st century digital literacy skills across the content areas in order for them to become college and career ready.","archive":"ERIC","archive_location":"1895978015; EJ1133240","container-title":"Literacy Research and Instruction","DOI":"10.1080/19388071.2017.1280863","ISSN":"1938-8071, 1938-8063","issue":"2","journalAbbreviation":"Literacy Research and Instruction","language":"en","page":"85-113","source":"DOI.org (Crossref)","title":"Building bridges between technology and content literacy in special education: Lessons learned from special educators’ use of integrated technology and perceived benefits for students","title-short":"Building bridges between technology and content literacy in special education","URL":"https://www.tandfonline.com/doi/full/10.1080/19388071.2017.1280863","volume":"56","author":[{"family":"Ciampa","given":"Katia"}],"accessed":{"date-parts":[["2025",2,26]]},"issued":{"date-parts":[["2017",4,3]]},"citation-key":"ciampaBuildingBridgesTechnology2017"}},{"id":612,"uris":["http://zotero.org/users/15409160/items/48MIIPS9"],"itemData":{"id":612,"type":"thesis","abstract":"Technology tools are not being ubiquitously integrated into instructional practices of special education resource specialist program (RSP) teachers. Although research exists on technology integration in special education, technology integration in RSP environments is overlooked in the literature. The purpose of this mixed methods case study was to explore how a two part strategy in which RSP teachers learned to use a matrix connecting curriculum tasks to technology tools through participation in a community of practice (CoP) enabled the transfer of technology knowledge to instruction. The conceptual framework for the study was based on situated learning theory, the concerns-based adoption model, diffusion theory, and Desimone's conceptual framework of professional development. The study utilized design-based research methods to explore how the two part strategy affected perceived value, frequency, and progress toward instructional synthesis for a convenience sample of 10 RSP teachers. Interview and focus group transcriptions were coded using pre-determined themes, then cross-coded for emerging themes and changes in attitude and depth of technology usage. Survey data were analyzed descriptively. Overall findings indicated qualitative changes in teaching practices were due to raised awareness of technology tools through exposure to the matrix, collaboration within the CoP, and increased student engagement. Implications for positive social change include providing additional guidance on how educators and researchers can improve professional development through technology integration strategies.","archive":"ERIC","archive_location":"1140139295; ED534877","event-place":"United States -- Minnesota","genre":"Ph.D.","language":"English","license":"Database copyright ProQuest LLC; ProQuest does not claim copyright in the individual underlying works.","note":"ISBN: 9781267007278","number-of-pages":"329","publisher":"Walden University","publisher-place":"United States -- Minnesota","source":"ProQuest","title":"Technology integration in the resource specialist environment","URL":"https://www.proquest.com/docview/907104754/abstract/71BEA1EB7D294231PQ/1","author":[{"family":"Courduff","given":"Jennifer L."}],"accessed":{"date-parts":[["2024",10,14]]},"issued":{"date-parts":[["2011"]]},"citation-key":"courduffTechnologyIntegrationResource2011"}},{"id":16324,"uris":["http://zotero.org/users/15409160/items/IYWVRB8X"],"itemData":{"id":16324,"type":"article-journal","abstract":"The Professional Development (PD) intervention in this study introduced special education teachers to inquiry-driven practices utilizing assistive technology (AT) to support student diverse learning needs. The study followed multiple case study research design to examine changes in AT competency and mindset of three special education teachers participating in PD. Findings showed that the structure and content of PD supported development of special education teachers’ competency in designing AT-infused inquiry-based experience for students with disabilities. It also affected changes in teachers’ mindset from thinking about their students as incapable individuals to recognizing their academic abilities as they engaged in inquiry-based learning experiences.","archive":"ERIC","archive_location":"2861153337; EJ1367369","container-title":"Journal of Digital Learning in Teacher Education","DOI":"10.1080/21532974.2022.2113938","ISSN":"2153-2974, 2332-7383","issue":"4","journalAbbreviation":"Journal of Digital Learning in Teacher Education","language":"en","page":"199-210","source":"DOI.org (Crossref)","title":"Designing professional development for special education teachers: Effects on assistive technology competency in developing inquiry-based student experiences","title-short":"Designing professional development for special education teachers","URL":"https://www.tandfonline.com/doi/full/10.1080/21532974.2022.2113938","volume":"38","author":[{"family":"Du","given":"Xiaoxue"},{"family":"Lyublinskaya","given":"Irina"}],"accessed":{"date-parts":[["2025",2,22]]},"issued":{"date-parts":[["2022",10,2]]},"citation-key":"duDesigningProfessionalDevelopment2022"}},{"id":16374,"uris":["http://zotero.org/users/15409160/items/D9WR9CM3"],"itemData":{"id":16374,"type":"article-journal","abstract":"Case studies of four secondary special education teachers indicate that coaching during implementation of a videodisc mathematics program brought positive changes in teaching techniques and enhanced use of motivational strategies and classroom management techniques. Results also suggest teachers may be more receptive to feedback on their teaching during introduction of a new technology. (Author/DB)","archive":"ERIC","archive_location":"62853670; EJ451529","container-title":"Remedial and Special Education (RASE)","DOI":"10.1177/074193259201300411","ISSN":"0741-9325","issue":"4","language":"English","note":"number-of-pages: 40-51\nTLDR: Case studies of four secondary-level special education teachers who received “coaching” as they implemented an innovative videodisc instructional program dealing with basic fraction concepts and operations suggest that the coaching led to positive changes in several important teaching techniques.","page":"40-51","source":"ProQuest","title":"Coaching secondary special education teachers in implementation of an innovative videodisc mathematics curriculum","URL":"https://www.proquest.com/docview/62853670/7DF9B077D19D4889PQ/70?sourcetype=Scholarly%20Journals","volume":"13","author":[{"family":"Gersten","given":"Russell"},{"family":"Kelly","given":"Bernadette"}],"accessed":{"date-parts":[["2025",2,18]]},"issued":{"date-parts":[["1992",8]]},"citation-key":"gerstenCoachingSecondarySpecial1992"}},{"id":614,"uris":["http://zotero.org/users/15409160/items/HGGRFQN5"],"itemData":{"id":614,"type":"thesis","abstract":"Research has shown that technology as a tool has major implications for improving access to the general education curriculum for K-12 students with disabilities. Specifically, assistive technology can offer a means to access and participation for students with high-incidence or low-incidence disabilities. While research shows that assistive technology has a positive impact on students’ learning, meaningful integration and use of assistive technology by students with high-incidence disabilities in schools is not widespread. Lack of teacher preparation is cited as the most significant factor surrounding the limited use of assistive technology by students in schools. Therefore, the purpose of this qualitative multiple case study was to understand the experiences and learning of four K-5 public educators who participated in a year-long inquiry-based professional development experience focused on assistive technology. Using data from multiple sources (classroom observations, debriefing meetings, classroom documents, semi-structured interviews, and field notes from the professional development sessions), the study demonstrates that each teacher developed assistive technology competencies and explored aspects of accessible curricula as evidenced by their distinct inquiry projects and pedagogical decisions. Findings also suggest that participants’ decision-making focused on student learning, technological tool use with all students in their classroom, and literacy instruction. From these findings it was evident that dominant special education discourse regulated teachers’ initial conceptions of assistive technology. Yet, as participants developed their inquiry projects, taught, and used assistive technology with students, they each pushed against the boundaries of dominant discourses vis-à-vis their classroom-based decisions. Participants’ inquiry work has significant implications for designing pre-service and in-service professional development opportunities that facilitate accessible and multimodal approaches to student learning, and providing a more inclusive space for learners.","archive":"ProQuest Dissertations &amp; Theses Global; Publicly Available Content Database","archive_location":"1906272624","event-place":"United States -- New York","genre":"Ed.D.","language":"English","license":"Database copyright ProQuest LLC; ProQuest does not claim copyright in the individual underlying works.","note":"ISBN: 9781369792447","number-of-pages":"272","publisher":"Teachers College, Columbia University","publisher-place":"United States -- New York","source":"ProQuest","title":"Assistive technology, disability, and access: Transforming thinking and practice through inquiry-based professional development","title-short":"Assistive technology, disability, and access","URL":"https://www.proquest.com/docview/1906272624/abstract/7EDDF6EEA66F4FAFPQ/1","author":[{"family":"Hollins","given":"Kara G."}],"accessed":{"date-parts":[["2024",10,14]]},"issued":{"date-parts":[["2017"]]},"citation-key":"hollinsAssistiveTechnologyDisability2017"}},{"id":12310,"uris":["http://zotero.org/users/15409160/items/BH388AEU"],"itemData":{"id":12310,"type":"article-journal","abstract":"In recent years, STEM learning has become a new education initiative worldwide. However, little research has considered the needs of students with Intellectual Disabilities (ID) in this initiative. Believing that individuals with disabilities should be evaluated and defined by their capacity, strengths, and broad range of interests and abilities, this research investigated this less-explored perspective in STEM learning, namely supporting teachers providing STEM learning for ID students. Four teachers in two special schools for children with intellectual disabilities worked collaboratively with each other in their schools to plan and implement STEM learning. Peer coaching was recommended to the teachers in order to improve their planning of STEM learning and their teaching practices for teachers’ professional development (TPD). The qualitative research methodology was used, and detailed analysis of teachers’ pre- and post-TPD interviews and reflections to identify good practices that helped ID students accomplish the tasks and disparities that influenced peer coaching was performed. While challenging, with support from peers and due considerations of the special learning needs of ID students, this research provides useful insights for teachers to support ID students in STEM learning, including the use of technology in the STEM learning design, the consideration of inquiry learning based on students’ abilities in implementation, and the focus on teachers’ disparity and school involvement with peer coaching.","archive":"APA PsycInfo®","archive_location":"2729100894; 2022-04134-007","container-title":"Journal of Educational Technology &amp; Society","ISSN":"11763647","issue":"4","language":"English","license":"© 2021. This work is published under https://creativecommons.org/licenses/by-nc-nd/3.0/ (the “License”).  Notwithstanding the ProQuest Terms and Conditions, you may use this content in accordance with the terms of the License.","note":"publisher-place: Palmerston North, Canada\npublisher: International Forum of Educational Technology &amp; Society\nsection: Special Issue Articles","page":"86-98","source":"ProQuest","title":"Teachers’ professional development with peer coaching to support students with intellectual disabilities in STEM learning","URL":"https://www.proquest.com/docview/2583395670/abstract/54C39E56D7EC4A93PQ/1","volume":"24","author":[{"family":"So","given":"Winnie Wing Mui"},{"family":"He","given":"Qianwen"},{"family":"Cheng","given":"Irene Nga Yee"},{"family":"Lee","given":"Theodore Tai Ho"},{"family":"Li","given":"Wai Chin"}],"accessed":{"date-parts":[["2025",2,17]]},"issued":{"date-parts":[["2021",10]]},"citation-key":"soTeachersProfessionalDevelopment2021"}}],"schema":"https://github.com/citation-style-language/schema/raw/master/csl-citation.json"} </w:instrText>
      </w:r>
      <w:r w:rsidR="00070640">
        <w:rPr>
          <w:lang w:val="en-US"/>
        </w:rPr>
        <w:fldChar w:fldCharType="separate"/>
      </w:r>
      <w:r w:rsidR="005126E4">
        <w:rPr>
          <w:noProof/>
          <w:lang w:val="en-US"/>
        </w:rPr>
        <w:t>(Cain, 2018; Ciampa, 2017; Courduff, 2011; Du &amp; Lyublinskaya, 2022; Gersten &amp; Kelly, 1992; Hollins, 2017; So et al., 2021)</w:t>
      </w:r>
      <w:r w:rsidR="00070640">
        <w:rPr>
          <w:lang w:val="en-US"/>
        </w:rPr>
        <w:fldChar w:fldCharType="end"/>
      </w:r>
      <w:r w:rsidRPr="33513164">
        <w:rPr>
          <w:lang w:val="en-US"/>
        </w:rPr>
        <w:t>. These studies used various standard methods to gather data, including interviews, observations, and document analysis. The remaining four articles used group designs</w:t>
      </w:r>
      <w:r w:rsidR="00A42FFE" w:rsidRPr="33513164">
        <w:rPr>
          <w:lang w:val="en-US"/>
        </w:rPr>
        <w:t xml:space="preserve"> </w:t>
      </w:r>
      <w:r w:rsidR="005126E4">
        <w:rPr>
          <w:lang w:val="en-US"/>
        </w:rPr>
        <w:fldChar w:fldCharType="begin"/>
      </w:r>
      <w:r w:rsidR="00153958">
        <w:rPr>
          <w:lang w:val="en-US"/>
        </w:rPr>
        <w:instrText xml:space="preserve"> ADDIN ZOTERO_ITEM CSL_CITATION {"citationID":"9zY9fd2f","properties":{"formattedCitation":"(Byrd-Jones, 2011; Du, 2022; Schmidt et al., 2017; Weiss et al., 2016)","plainCitation":"(Byrd-Jones, 2011; Du, 2022; Schmidt et al., 2017; Weiss et al., 2016)","noteIndex":0},"citationItems":[{"id":607,"uris":["http://zotero.org/users/15409160/items/REL2TDIA"],"itemData":{"id":607,"type":"thesis","abstract":"Effective professional development training is essential to ensuring full technology integration in all classrooms by all teachers on a regular basis. Technology integration can greatly enhance the learning of all students. In particular students with disabilities and special needs benefit a great deal from the use of technology during instruction. It helps to create a universal design for learning that minimizes the students' disabilities and allow them to participate with little assistance. Often when these students live in rural areas they are at an even greater disadvantage due to the limited resources available. The following research uses a survey questionnaire to investigate the prevalence of educational technology for instruction used by special education teachers in rural areas throughout South Carolina. The amount of time spent in professional development training related to technology has an influence on how often a teacher uses technology in the classroom. The research uses adult transformational learning theory as a basis for understanding how adults (teachers) learn new things and incorporate them into practice. There are implications presented for teachers and administrators regarding technology integration.","archive":"ERIC","archive_location":"1312419834; ED537286","event-place":"United States -- South Carolina","genre":"Ed.D.","language":"English","license":"Database copyright ProQuest LLC; ProQuest does not claim copyright in the individual underlying works.","note":"ISBN: 9781267082879","number-of-pages":"145","publisher":"University of South Carolina","publisher-place":"United States -- South Carolina","source":"ProQuest","title":"The use of educational technology integration by special education teachers in rural schools in South Carolina","URL":"https://www.proquest.com/docview/915123953/abstract/9A0195467D304CE5PQ/1","author":[{"family":"Byrd-Jones","given":"Shannon L."}],"accessed":{"date-parts":[["2024",10,14]]},"issued":{"date-parts":[["2011"]]},"citation-key":"byrd-jonesUseEducationalTechnology2011"}},{"id":635,"uris":["http://zotero.org/users/15409160/items/LQCEGGVS"],"itemData":{"id":635,"type":"article-journal","abstract":"COVID-19 has presented new challenges for all teachers, especially teachers of students with special needs. Students have struggled with online learning environments with limited opportunities for social interaction and resources for these disruptive times. The study examined the effect of a professional development (PD) intervention, guided by the inquiry-based learning framework (IBL) to prepare special education teachers to engage students with disabilities for online teaching. This PD intervention used assistive technology (AT) as a catalyst for helping teachers to develop competencies in designing inquiry-based learning experience for online teaching. The research study utilized the sequential mixed methods approach to collect both quantitative and qualitative data. Findings showed that the structure and content of PD supported development of special education teachers' competency in designing AT-infused inquiry-based experience for students with disabilities. The study also indicated that development of AT competency was a non-linear process that was moderated by various contextual and personal factors.","archive":"ERIC","archive_location":"2861332837; EJ1372630","container-title":"Journal of Online Learning Research","DOI":"https://eric.ed.gov/?id=EJ1372630","issue":"3","language":"en","note":"publisher: Association for the Advancement of Computing in Education\nERIC Number: EJ1372630","page":"425-446","source":"ERIC","title":"Professional development for virtual environment: Designing assistive-technology infused inquiry-based learning experience for online teaching","title-short":"Professional development for virtual environment","URL":"https://eric.ed.gov/?id=EJ1372630","volume":"8","author":[{"family":"Du","given":"Xiaoxue"}],"accessed":{"date-parts":[["2024",10,14]]},"issued":{"date-parts":[["2022"]]},"citation-key":"duProfessionalDevelopmentVirtual2022"}},{"id":10620,"uris":["http://zotero.org/users/15409160/items/JXKSPEDX"],"itemData":{"id":10620,"type":"article-journal","abstract":"The worldwide explosion in popularity of mobile devices has created a dramatic increase in mobile software (apps) that are quick and easy to find and install, cheap, disposable, and usually single purpose. Hence, teachers need an equally streamlined and simplified decision-making process to help them identify educational apps—an approach that differs from traditional technology decision-making approaches that are cumbersome and require significant time, resources, and effort. Project Software Identification and Evaluation for Decision-Making (SIED) attempts to fill this gap. In this article, we describe Project SIED, how we designed a series of professional development workshops for in-service special education teachers based on Project SIED, and the evaluation outcomes of the workshops. Results suggest that workshops were successful from in-service special education teachers’ self-reported confidence and comfort levels. Limitations and future plans are discussed.","archive":"ERIC","archive_location":"1895988891; EJ1129828","container-title":"Journal of Special Education Technology","DOI":"10.1177/0162643416681160","ISSN":"0162-6434","issue":"1","journalAbbreviation":"J Spec Educ Technol","language":"en","note":"publisher: SAGE Publications Inc\nTLDR: In this article, it is described how a series of professional development workshops for in-service special education teachers based on Project SIED were designed, how they were successful, and the evaluation outcomes of the workshops.","page":"12-22","source":"SAGE Journals","title":"Implementing project SIED: Special education teachers’ perceptions of a simplified technology decision-making process for app identification and evaluation","title-short":"Implementing project SIED","URL":"https://doi.org/10.1177/0162643416681160","volume":"32","author":[{"family":"Schmidt","given":"Matthew M."},{"family":"Lin","given":"Meng-Fen Grace"},{"family":"Paek","given":"Seungoh"},{"family":"MacSuga-Gage","given":"Ashley"},{"family":"Gage","given":"Nicholas A."}],"accessed":{"date-parts":[["2024",11,25]]},"issued":{"date-parts":[["2017",3,1]]},"citation-key":"schmidtImplementingProjectSIED2017"}},{"id":1586,"uris":["http://zotero.org/users/15409160/items/EUGN6SFM"],"itemData":{"id":1586,"type":"article-journal","abstract":"Mastering content vocabulary is critical to the success of students with high-incidence disabilities in the general education curriculum. General education classrooms often do not offer the opportunities necessary for these students to master important vocabulary. Teachers often look to technology to help. Several studies have indicated that content acquisition podcasts (CAPs) may have an impact on the vocabulary learning of secondary students with high-incidence disabilities. In this study, 37 in-service teachers enrolled in a master’s program in special education were taught to create CAPs for vocabulary terms in a course focused on methods for secondary-level instruction. Teacher-created podcasts were assessed on the presence of Mayer’s instructional design principles as well as evidence-based practices for vocabulary instruction. Although teachers were able to include many instructional design principles related to technology in their CAPs, their use of instructional principles and evidence-based practices was inconsistent. Implications are discussed.","container-title":"Journal of Special Education Technology","DOI":"10.1177/0162643416673916","ISSN":"0162-6434","issue":"4","journalAbbreviation":"J Spec Educ Technol","language":"en","note":"publisher: SAGE Publications Inc\nTLDR: Although teachers were able to include many instructional design principles related to technology in their CAPs, their use of instructional principles and evidence-based practices was inconsistent.","page":"228-235","source":"SAGE Journals","title":"Creating content acquisition podcasts (caps) for vocabulary: The intersection of content, pedagogy, and technology","title-short":"Creating content acquisition podcasts (caps) for vocabulary","URL":"https://doi.org/10.1177/0162643416673916","volume":"31","author":[{"family":"Weiss","given":"Margaret P."},{"family":"Evmenova","given":"Anya S."},{"family":"Kennedy","given":"Michael J."},{"family":"Duke","given":"Jodi M."}],"accessed":{"date-parts":[["2024",10,19]]},"issued":{"date-parts":[["2016",12,1]]},"citation-key":"weissCreatingContentAcquisition2016"}}],"schema":"https://github.com/citation-style-language/schema/raw/master/csl-citation.json"} </w:instrText>
      </w:r>
      <w:r w:rsidR="005126E4">
        <w:rPr>
          <w:lang w:val="en-US"/>
        </w:rPr>
        <w:fldChar w:fldCharType="separate"/>
      </w:r>
      <w:r w:rsidR="00056AE1">
        <w:rPr>
          <w:noProof/>
          <w:lang w:val="en-US"/>
        </w:rPr>
        <w:t>(Byrd-Jones, 2011; Du, 2022; Schmidt et al., 2017; Weiss et al., 2016)</w:t>
      </w:r>
      <w:r w:rsidR="005126E4">
        <w:rPr>
          <w:lang w:val="en-US"/>
        </w:rPr>
        <w:fldChar w:fldCharType="end"/>
      </w:r>
      <w:r w:rsidRPr="33513164">
        <w:rPr>
          <w:lang w:val="en-US"/>
        </w:rPr>
        <w:t xml:space="preserve">. </w:t>
      </w:r>
      <w:r w:rsidR="0029709A" w:rsidRPr="33513164">
        <w:rPr>
          <w:lang w:val="en-US"/>
        </w:rPr>
        <w:t>Two</w:t>
      </w:r>
      <w:r w:rsidRPr="33513164">
        <w:rPr>
          <w:lang w:val="en-US"/>
        </w:rPr>
        <w:t xml:space="preserve"> studies used survey</w:t>
      </w:r>
      <w:r w:rsidR="000F5724" w:rsidRPr="33513164">
        <w:rPr>
          <w:lang w:val="en-US"/>
        </w:rPr>
        <w:t xml:space="preserve"> designs</w:t>
      </w:r>
      <w:r w:rsidRPr="33513164">
        <w:rPr>
          <w:lang w:val="en-US"/>
        </w:rPr>
        <w:t xml:space="preserve"> (Byrd-Jones, 2011; Schmidt et al., 2017)</w:t>
      </w:r>
      <w:r w:rsidR="006020B3" w:rsidRPr="33513164">
        <w:rPr>
          <w:lang w:val="en-US"/>
        </w:rPr>
        <w:t>,</w:t>
      </w:r>
      <w:r w:rsidR="006303BE" w:rsidRPr="33513164">
        <w:rPr>
          <w:lang w:val="en-US"/>
        </w:rPr>
        <w:t xml:space="preserve"> and</w:t>
      </w:r>
      <w:r w:rsidR="000F5724" w:rsidRPr="33513164">
        <w:rPr>
          <w:lang w:val="en-US"/>
        </w:rPr>
        <w:t xml:space="preserve"> one used </w:t>
      </w:r>
      <w:r w:rsidRPr="33513164">
        <w:rPr>
          <w:lang w:val="en-US"/>
        </w:rPr>
        <w:t xml:space="preserve">quasi-experimental designs (Weiss et al., 2016) to collect and analyze data from larger groups of teachers. </w:t>
      </w:r>
      <w:r w:rsidR="006303BE" w:rsidRPr="33513164">
        <w:rPr>
          <w:lang w:val="en-US"/>
        </w:rPr>
        <w:t xml:space="preserve">The final </w:t>
      </w:r>
      <w:r w:rsidR="006020B3" w:rsidRPr="33513164">
        <w:rPr>
          <w:lang w:val="en-US"/>
        </w:rPr>
        <w:t>group de</w:t>
      </w:r>
      <w:r w:rsidR="00641E12" w:rsidRPr="33513164">
        <w:rPr>
          <w:lang w:val="en-US"/>
        </w:rPr>
        <w:t>s</w:t>
      </w:r>
      <w:r w:rsidR="006020B3" w:rsidRPr="33513164">
        <w:rPr>
          <w:lang w:val="en-US"/>
        </w:rPr>
        <w:t xml:space="preserve">ign used a </w:t>
      </w:r>
      <w:r w:rsidR="00AC543D" w:rsidRPr="33513164">
        <w:rPr>
          <w:lang w:val="en-US"/>
        </w:rPr>
        <w:t>mixed method</w:t>
      </w:r>
      <w:r w:rsidR="006020B3" w:rsidRPr="33513164">
        <w:rPr>
          <w:lang w:val="en-US"/>
        </w:rPr>
        <w:t xml:space="preserve"> </w:t>
      </w:r>
      <w:r w:rsidR="00AC543D" w:rsidRPr="33513164">
        <w:rPr>
          <w:lang w:val="en-US"/>
        </w:rPr>
        <w:t xml:space="preserve">design </w:t>
      </w:r>
      <w:r w:rsidR="00376090" w:rsidRPr="33513164">
        <w:rPr>
          <w:lang w:val="en-US"/>
        </w:rPr>
        <w:t xml:space="preserve">which highlighted the experiences of one participant </w:t>
      </w:r>
      <w:r w:rsidR="00AC543D" w:rsidRPr="33513164">
        <w:rPr>
          <w:lang w:val="en-US"/>
        </w:rPr>
        <w:t>(Du, 2022).</w:t>
      </w:r>
      <w:r w:rsidR="00641E12" w:rsidRPr="33513164">
        <w:rPr>
          <w:lang w:val="en-US"/>
        </w:rPr>
        <w:t xml:space="preserve"> </w:t>
      </w:r>
      <w:r w:rsidR="00376090" w:rsidRPr="33513164">
        <w:rPr>
          <w:lang w:val="en-US"/>
        </w:rPr>
        <w:t>The</w:t>
      </w:r>
      <w:r w:rsidR="00641E12" w:rsidRPr="33513164">
        <w:rPr>
          <w:lang w:val="en-US"/>
        </w:rPr>
        <w:t xml:space="preserve"> case study</w:t>
      </w:r>
      <w:r w:rsidR="00376090" w:rsidRPr="33513164">
        <w:rPr>
          <w:lang w:val="en-US"/>
        </w:rPr>
        <w:t xml:space="preserve"> participant’s data is </w:t>
      </w:r>
      <w:r w:rsidR="00641E12" w:rsidRPr="33513164">
        <w:rPr>
          <w:lang w:val="en-US"/>
        </w:rPr>
        <w:t>coded</w:t>
      </w:r>
      <w:r w:rsidR="00376090" w:rsidRPr="33513164">
        <w:rPr>
          <w:lang w:val="en-US"/>
        </w:rPr>
        <w:t xml:space="preserve"> within </w:t>
      </w:r>
      <w:r w:rsidR="00641E12" w:rsidRPr="33513164">
        <w:rPr>
          <w:lang w:val="en-US"/>
        </w:rPr>
        <w:t>its other group design participants.</w:t>
      </w:r>
    </w:p>
    <w:p w14:paraId="55E6A553" w14:textId="16AC31E8" w:rsidR="00403D84" w:rsidRDefault="00403D84" w:rsidP="00E0546B">
      <w:pPr>
        <w:pStyle w:val="Heading3"/>
        <w:spacing w:line="480" w:lineRule="auto"/>
      </w:pPr>
      <w:r w:rsidRPr="00D15BA7">
        <w:t>Par</w:t>
      </w:r>
      <w:r w:rsidR="00AB3CE6" w:rsidRPr="00D15BA7">
        <w:t>ticipants</w:t>
      </w:r>
    </w:p>
    <w:p w14:paraId="7C688FF0" w14:textId="0397CCA6" w:rsidR="00A42FFE" w:rsidRPr="00A42FFE" w:rsidRDefault="00F406A3" w:rsidP="00E0546B">
      <w:pPr>
        <w:spacing w:line="480" w:lineRule="auto"/>
        <w:ind w:firstLine="720"/>
      </w:pPr>
      <w:bookmarkStart w:id="11" w:name="_Hlk198848315"/>
      <w:r w:rsidRPr="33513164">
        <w:rPr>
          <w:lang w:val="en-US"/>
        </w:rPr>
        <w:t xml:space="preserve">Seven articles used case-study designs and were examined with each participant as the unit of analysis </w:t>
      </w:r>
      <m:oMath>
        <m:r>
          <w:rPr>
            <w:rFonts w:ascii="Cambria Math" w:hAnsi="Cambria Math"/>
          </w:rPr>
          <m:t>(n=28)</m:t>
        </m:r>
      </m:oMath>
      <w:r w:rsidRPr="33513164">
        <w:rPr>
          <w:lang w:val="en-US"/>
        </w:rPr>
        <w:t xml:space="preserve"> for all descriptive variables (Cain, 2018,</w:t>
      </w:r>
      <m:oMath>
        <m:r>
          <w:rPr>
            <w:rFonts w:ascii="Cambria Math" w:hAnsi="Cambria Math"/>
          </w:rPr>
          <m:t xml:space="preserve"> n=1</m:t>
        </m:r>
      </m:oMath>
      <w:r w:rsidRPr="33513164">
        <w:rPr>
          <w:lang w:val="en-US"/>
        </w:rPr>
        <w:t xml:space="preserve">; Ciampa, 2017, </w:t>
      </w:r>
      <m:oMath>
        <m:r>
          <w:rPr>
            <w:rFonts w:ascii="Cambria Math" w:hAnsi="Cambria Math"/>
          </w:rPr>
          <m:t>n=3</m:t>
        </m:r>
      </m:oMath>
      <w:r w:rsidRPr="33513164">
        <w:rPr>
          <w:lang w:val="en-US"/>
        </w:rPr>
        <w:t xml:space="preserve">; Courduff, 2011, </w:t>
      </w:r>
      <m:oMath>
        <m:r>
          <w:rPr>
            <w:rFonts w:ascii="Cambria Math" w:hAnsi="Cambria Math"/>
          </w:rPr>
          <m:t>n=10</m:t>
        </m:r>
      </m:oMath>
      <w:r w:rsidRPr="33513164">
        <w:rPr>
          <w:lang w:val="en-US"/>
        </w:rPr>
        <w:t xml:space="preserve">; Du &amp; Lyublinskaya, 2022, </w:t>
      </w:r>
      <m:oMath>
        <m:r>
          <w:rPr>
            <w:rFonts w:ascii="Cambria Math" w:hAnsi="Cambria Math"/>
          </w:rPr>
          <m:t>n=3</m:t>
        </m:r>
      </m:oMath>
      <w:r w:rsidRPr="33513164">
        <w:rPr>
          <w:lang w:val="en-US"/>
        </w:rPr>
        <w:t xml:space="preserve">; Gersten &amp; Kelly, 1992, </w:t>
      </w:r>
      <m:oMath>
        <m:r>
          <w:rPr>
            <w:rFonts w:ascii="Cambria Math" w:hAnsi="Cambria Math"/>
          </w:rPr>
          <m:t>n=4</m:t>
        </m:r>
      </m:oMath>
      <w:r w:rsidRPr="33513164">
        <w:rPr>
          <w:lang w:val="en-US"/>
        </w:rPr>
        <w:t xml:space="preserve">; Hollins, 2017, </w:t>
      </w:r>
      <m:oMath>
        <m:r>
          <w:rPr>
            <w:rFonts w:ascii="Cambria Math" w:hAnsi="Cambria Math"/>
          </w:rPr>
          <m:t>n=3</m:t>
        </m:r>
      </m:oMath>
      <w:r w:rsidRPr="33513164">
        <w:rPr>
          <w:lang w:val="en-US"/>
        </w:rPr>
        <w:t xml:space="preserve">; So et al., 2021, </w:t>
      </w:r>
      <m:oMath>
        <m:r>
          <w:rPr>
            <w:rFonts w:ascii="Cambria Math" w:hAnsi="Cambria Math"/>
          </w:rPr>
          <m:t>n=4</m:t>
        </m:r>
      </m:oMath>
      <w:r w:rsidRPr="33513164">
        <w:rPr>
          <w:lang w:val="en-US"/>
        </w:rPr>
        <w:t>). The remaining four articles used group designs with vastly different sample sizes (Byrd-Jones, 2011</w:t>
      </w:r>
      <w:r w:rsidR="005B54CD">
        <w:rPr>
          <w:lang w:val="en-US"/>
        </w:rPr>
        <w:t>,</w:t>
      </w:r>
      <w:r w:rsidRPr="33513164">
        <w:rPr>
          <w:lang w:val="en-US"/>
        </w:rPr>
        <w:t xml:space="preserve"> </w:t>
      </w:r>
      <m:oMath>
        <m:r>
          <w:rPr>
            <w:rFonts w:ascii="Cambria Math" w:hAnsi="Cambria Math"/>
          </w:rPr>
          <m:t>n=322</m:t>
        </m:r>
      </m:oMath>
      <w:r w:rsidRPr="33513164">
        <w:rPr>
          <w:lang w:val="en-US"/>
        </w:rPr>
        <w:t>; Du, 2022</w:t>
      </w:r>
      <w:r w:rsidR="00D76AE2" w:rsidRPr="33513164">
        <w:rPr>
          <w:lang w:val="en-US"/>
        </w:rPr>
        <w:t>,</w:t>
      </w:r>
      <w:r w:rsidRPr="33513164">
        <w:rPr>
          <w:lang w:val="en-US"/>
        </w:rPr>
        <w:t xml:space="preserve"> </w:t>
      </w:r>
      <m:oMath>
        <m:r>
          <w:rPr>
            <w:rFonts w:ascii="Cambria Math" w:hAnsi="Cambria Math"/>
          </w:rPr>
          <m:t>n=20</m:t>
        </m:r>
      </m:oMath>
      <w:r w:rsidRPr="33513164">
        <w:rPr>
          <w:lang w:val="en-US"/>
        </w:rPr>
        <w:t>; Schmidt et al., 2017</w:t>
      </w:r>
      <w:r w:rsidR="00D76AE2" w:rsidRPr="33513164">
        <w:rPr>
          <w:lang w:val="en-US"/>
        </w:rPr>
        <w:t>,</w:t>
      </w:r>
      <w:r w:rsidRPr="33513164">
        <w:rPr>
          <w:lang w:val="en-US"/>
        </w:rPr>
        <w:t xml:space="preserve"> </w:t>
      </w:r>
      <m:oMath>
        <m:r>
          <w:rPr>
            <w:rFonts w:ascii="Cambria Math" w:hAnsi="Cambria Math"/>
          </w:rPr>
          <m:t>n=219</m:t>
        </m:r>
      </m:oMath>
      <w:r w:rsidRPr="33513164">
        <w:rPr>
          <w:lang w:val="en-US"/>
        </w:rPr>
        <w:t>; Weiss et al., 2016</w:t>
      </w:r>
      <w:r w:rsidR="00D76AE2" w:rsidRPr="33513164">
        <w:rPr>
          <w:lang w:val="en-US"/>
        </w:rPr>
        <w:t>,</w:t>
      </w:r>
      <w:r w:rsidRPr="33513164">
        <w:rPr>
          <w:lang w:val="en-US"/>
        </w:rPr>
        <w:t xml:space="preserve"> </w:t>
      </w:r>
      <m:oMath>
        <m:r>
          <w:rPr>
            <w:rFonts w:ascii="Cambria Math" w:hAnsi="Cambria Math"/>
          </w:rPr>
          <m:t>n=37</m:t>
        </m:r>
      </m:oMath>
      <w:r w:rsidRPr="33513164">
        <w:rPr>
          <w:lang w:val="en-US"/>
        </w:rPr>
        <w:t>).</w:t>
      </w:r>
    </w:p>
    <w:bookmarkEnd w:id="11"/>
    <w:p w14:paraId="59916ABA" w14:textId="44050ED5" w:rsidR="00A42FFE" w:rsidRDefault="00A42FFE" w:rsidP="00E0546B">
      <w:pPr>
        <w:spacing w:line="480" w:lineRule="auto"/>
        <w:ind w:firstLine="720"/>
      </w:pPr>
      <w:r w:rsidRPr="009B686A">
        <w:rPr>
          <w:rStyle w:val="Heading4Char"/>
          <w:lang w:val="en-US"/>
        </w:rPr>
        <w:t xml:space="preserve">Age. </w:t>
      </w:r>
      <w:r w:rsidR="00403D84" w:rsidRPr="009B686A">
        <w:rPr>
          <w:lang w:val="en-US"/>
        </w:rPr>
        <w:t>On</w:t>
      </w:r>
      <w:r w:rsidRPr="009B686A">
        <w:rPr>
          <w:lang w:val="en-US"/>
        </w:rPr>
        <w:t>ly on</w:t>
      </w:r>
      <w:r w:rsidR="00403D84" w:rsidRPr="009B686A">
        <w:rPr>
          <w:lang w:val="en-US"/>
        </w:rPr>
        <w:t xml:space="preserve">e case study (Du &amp; Lyublinskaya, 2022) reported its participant’s ages. Two were in the </w:t>
      </w:r>
      <m:oMath>
        <m:r>
          <w:rPr>
            <w:rFonts w:ascii="Cambria Math" w:hAnsi="Cambria Math"/>
            <w:lang w:val="en-US"/>
          </w:rPr>
          <m:t>40-44</m:t>
        </m:r>
      </m:oMath>
      <w:r w:rsidR="00403D84" w:rsidRPr="009B686A">
        <w:rPr>
          <w:lang w:val="en-US"/>
        </w:rPr>
        <w:t xml:space="preserve"> range, and one was in the </w:t>
      </w:r>
      <m:oMath>
        <m:r>
          <w:rPr>
            <w:rFonts w:ascii="Cambria Math" w:hAnsi="Cambria Math"/>
            <w:lang w:val="en-US"/>
          </w:rPr>
          <m:t>35-39</m:t>
        </m:r>
      </m:oMath>
      <w:r w:rsidR="00403D84" w:rsidRPr="009B686A">
        <w:rPr>
          <w:lang w:val="en-US"/>
        </w:rPr>
        <w:t xml:space="preserve"> range. Age data </w:t>
      </w:r>
      <w:r w:rsidRPr="009B686A">
        <w:rPr>
          <w:lang w:val="en-US"/>
        </w:rPr>
        <w:t xml:space="preserve">were </w:t>
      </w:r>
      <w:r w:rsidR="00403D84" w:rsidRPr="009B686A">
        <w:rPr>
          <w:lang w:val="en-US"/>
        </w:rPr>
        <w:t xml:space="preserve">not reported for all other case studies </w:t>
      </w:r>
      <w:r w:rsidR="006208CC">
        <w:rPr>
          <w:lang w:val="en-US"/>
        </w:rPr>
        <w:t>(</w:t>
      </w:r>
      <w:r w:rsidR="00403D84" w:rsidRPr="009B686A">
        <w:rPr>
          <w:lang w:val="en-US"/>
        </w:rPr>
        <w:t xml:space="preserve">Cain, 2018; Ciampa, 2017; Courduff, 2011; Gersten &amp; Kelly, 1992; Hollins, </w:t>
      </w:r>
      <w:r w:rsidR="00403D84" w:rsidRPr="009B686A">
        <w:rPr>
          <w:lang w:val="en-US"/>
        </w:rPr>
        <w:lastRenderedPageBreak/>
        <w:t>2017; So et al., 2021</w:t>
      </w:r>
      <w:r w:rsidR="006208CC">
        <w:rPr>
          <w:lang w:val="en-US"/>
        </w:rPr>
        <w:t xml:space="preserve">; </w:t>
      </w:r>
      <w:r w:rsidR="006F6776">
        <w:rPr>
          <w:lang w:val="en-US"/>
        </w:rPr>
        <w:t xml:space="preserve">total </w:t>
      </w:r>
      <m:oMath>
        <m:r>
          <w:rPr>
            <w:rFonts w:ascii="Cambria Math" w:hAnsi="Cambria Math"/>
            <w:lang w:val="en-US"/>
          </w:rPr>
          <m:t>n=25</m:t>
        </m:r>
      </m:oMath>
      <w:r w:rsidR="00403D84" w:rsidRPr="009B686A">
        <w:rPr>
          <w:lang w:val="en-US"/>
        </w:rPr>
        <w:t>). Only Schmidt et al. (2017) reported age in group design records. Participants</w:t>
      </w:r>
      <w:r w:rsidR="00D76AE2" w:rsidRPr="009B686A">
        <w:rPr>
          <w:lang w:val="en-US"/>
        </w:rPr>
        <w:t>’</w:t>
      </w:r>
      <w:r w:rsidR="00403D84" w:rsidRPr="009B686A">
        <w:rPr>
          <w:lang w:val="en-US"/>
        </w:rPr>
        <w:t xml:space="preserve"> </w:t>
      </w:r>
      <m:oMath>
        <m:r>
          <w:rPr>
            <w:rFonts w:ascii="Cambria Math" w:hAnsi="Cambria Math"/>
          </w:rPr>
          <m:t>(n=219)</m:t>
        </m:r>
      </m:oMath>
      <w:r w:rsidR="00403D84" w:rsidRPr="009B686A">
        <w:rPr>
          <w:lang w:val="en-US"/>
        </w:rPr>
        <w:t xml:space="preserve"> ages were reported as </w:t>
      </w:r>
      <m:oMath>
        <m:r>
          <w:rPr>
            <w:rFonts w:ascii="Cambria Math" w:hAnsi="Cambria Math"/>
          </w:rPr>
          <m:t>20-29 (16%)</m:t>
        </m:r>
      </m:oMath>
      <w:r w:rsidR="00403D84" w:rsidRPr="009B686A">
        <w:rPr>
          <w:lang w:val="en-US"/>
        </w:rPr>
        <w:t xml:space="preserve">, </w:t>
      </w:r>
      <m:oMath>
        <m:r>
          <w:rPr>
            <w:rFonts w:ascii="Cambria Math" w:hAnsi="Cambria Math"/>
          </w:rPr>
          <m:t>30-49 years (47%)</m:t>
        </m:r>
      </m:oMath>
      <w:r w:rsidR="00403D84" w:rsidRPr="009B686A">
        <w:rPr>
          <w:lang w:val="en-US"/>
        </w:rPr>
        <w:t xml:space="preserve">, and over </w:t>
      </w:r>
      <m:oMath>
        <m:r>
          <w:rPr>
            <w:rFonts w:ascii="Cambria Math" w:hAnsi="Cambria Math"/>
          </w:rPr>
          <m:t>50</m:t>
        </m:r>
      </m:oMath>
      <w:r w:rsidR="006208CC">
        <w:rPr>
          <w:lang w:val="en-US"/>
        </w:rPr>
        <w:t xml:space="preserve"> years </w:t>
      </w:r>
      <m:oMath>
        <m:r>
          <w:rPr>
            <w:rFonts w:ascii="Cambria Math" w:hAnsi="Cambria Math"/>
            <w:lang w:val="en-US"/>
          </w:rPr>
          <m:t>35%</m:t>
        </m:r>
      </m:oMath>
      <w:r w:rsidR="006208CC">
        <w:rPr>
          <w:lang w:val="en-US"/>
        </w:rPr>
        <w:t>.</w:t>
      </w:r>
    </w:p>
    <w:p w14:paraId="1C5B0FEC" w14:textId="16ADAD5F" w:rsidR="00A42FFE" w:rsidRDefault="00A42FFE" w:rsidP="00E0546B">
      <w:pPr>
        <w:spacing w:line="480" w:lineRule="auto"/>
        <w:ind w:firstLine="720"/>
      </w:pPr>
      <w:r w:rsidRPr="009B686A">
        <w:rPr>
          <w:rStyle w:val="Heading4Char"/>
          <w:lang w:val="en-US"/>
        </w:rPr>
        <w:t>Gender.</w:t>
      </w:r>
      <w:r w:rsidRPr="009B686A">
        <w:rPr>
          <w:b/>
          <w:bCs/>
          <w:lang w:val="en-US"/>
        </w:rPr>
        <w:t xml:space="preserve"> </w:t>
      </w:r>
      <w:r w:rsidR="00403D84" w:rsidRPr="009B686A">
        <w:rPr>
          <w:lang w:val="en-US"/>
        </w:rPr>
        <w:t>Genders were reported for all case study participants (Cain, 2018; Ciampa, 2017; Courduff, 2011; Du &amp; Lyublinskaya,</w:t>
      </w:r>
      <w:r w:rsidR="006F6776">
        <w:rPr>
          <w:lang w:val="en-US"/>
        </w:rPr>
        <w:t xml:space="preserve"> 2022;</w:t>
      </w:r>
      <w:r w:rsidR="00403D84" w:rsidRPr="009B686A">
        <w:rPr>
          <w:lang w:val="en-US"/>
        </w:rPr>
        <w:t xml:space="preserve"> Gersten &amp; Kelly, 1992; Hollins, 2017; So et al., 202</w:t>
      </w:r>
      <w:r w:rsidR="006F6776">
        <w:rPr>
          <w:lang w:val="en-US"/>
        </w:rPr>
        <w:t>1</w:t>
      </w:r>
      <w:r w:rsidR="00403D84" w:rsidRPr="009B686A">
        <w:rPr>
          <w:lang w:val="en-US"/>
        </w:rPr>
        <w:t xml:space="preserve">). Females </w:t>
      </w:r>
      <w:r w:rsidR="00D76AE2" w:rsidRPr="009B686A">
        <w:rPr>
          <w:lang w:val="en-US"/>
        </w:rPr>
        <w:t>included</w:t>
      </w:r>
      <w:r w:rsidR="00403D84" w:rsidRPr="009B686A">
        <w:rPr>
          <w:lang w:val="en-US"/>
        </w:rPr>
        <w:t xml:space="preserve"> </w:t>
      </w:r>
      <m:oMath>
        <m:r>
          <w:rPr>
            <w:rFonts w:ascii="Cambria Math" w:hAnsi="Cambria Math"/>
          </w:rPr>
          <m:t>86%</m:t>
        </m:r>
      </m:oMath>
      <w:r w:rsidR="00403D84" w:rsidRPr="009B686A">
        <w:rPr>
          <w:lang w:val="en-US"/>
        </w:rPr>
        <w:t xml:space="preserve"> of the participants </w:t>
      </w:r>
      <m:oMath>
        <m:r>
          <w:rPr>
            <w:rFonts w:ascii="Cambria Math" w:hAnsi="Cambria Math"/>
          </w:rPr>
          <m:t>(n=24)</m:t>
        </m:r>
      </m:oMath>
      <w:r w:rsidR="00403D84" w:rsidRPr="009B686A">
        <w:rPr>
          <w:lang w:val="en-US"/>
        </w:rPr>
        <w:t xml:space="preserve">, while males </w:t>
      </w:r>
      <w:r w:rsidR="00E94B40" w:rsidRPr="009B686A">
        <w:rPr>
          <w:lang w:val="en-US"/>
        </w:rPr>
        <w:t>made up</w:t>
      </w:r>
      <w:r w:rsidR="00403D84" w:rsidRPr="009B686A">
        <w:rPr>
          <w:lang w:val="en-US"/>
        </w:rPr>
        <w:t xml:space="preserve"> </w:t>
      </w:r>
      <m:oMath>
        <m:r>
          <w:rPr>
            <w:rFonts w:ascii="Cambria Math" w:hAnsi="Cambria Math"/>
          </w:rPr>
          <m:t>14% (n=4)</m:t>
        </m:r>
      </m:oMath>
      <w:r w:rsidR="00403D84" w:rsidRPr="009B686A">
        <w:rPr>
          <w:lang w:val="en-US"/>
        </w:rPr>
        <w:t>.</w:t>
      </w:r>
      <w:r w:rsidRPr="009B686A">
        <w:rPr>
          <w:lang w:val="en-US"/>
        </w:rPr>
        <w:t xml:space="preserve"> </w:t>
      </w:r>
      <w:r w:rsidR="00634DC2" w:rsidRPr="009B686A">
        <w:rPr>
          <w:lang w:val="en-US"/>
        </w:rPr>
        <w:t xml:space="preserve">In group designs, genders were not reported in two studies (Byrd-Jones, 2011; Du, 2022) and was averaged to </w:t>
      </w:r>
      <m:oMath>
        <m:r>
          <w:rPr>
            <w:rFonts w:ascii="Cambria Math" w:hAnsi="Cambria Math"/>
          </w:rPr>
          <m:t>82%</m:t>
        </m:r>
      </m:oMath>
      <w:r w:rsidR="00634DC2" w:rsidRPr="009B686A">
        <w:rPr>
          <w:lang w:val="en-US"/>
        </w:rPr>
        <w:t xml:space="preserve"> Female </w:t>
      </w:r>
      <m:oMath>
        <m:r>
          <w:rPr>
            <w:rFonts w:ascii="Cambria Math" w:hAnsi="Cambria Math"/>
          </w:rPr>
          <m:t>(n=209)</m:t>
        </m:r>
      </m:oMath>
      <w:r w:rsidR="00634DC2" w:rsidRPr="009B686A">
        <w:rPr>
          <w:lang w:val="en-US"/>
        </w:rPr>
        <w:t xml:space="preserve"> and </w:t>
      </w:r>
      <m:oMath>
        <m:r>
          <w:rPr>
            <w:rFonts w:ascii="Cambria Math" w:hAnsi="Cambria Math"/>
          </w:rPr>
          <m:t>18% Male (n=45)</m:t>
        </m:r>
      </m:oMath>
      <w:r w:rsidR="00634DC2" w:rsidRPr="009B686A">
        <w:rPr>
          <w:lang w:val="en-US"/>
        </w:rPr>
        <w:t xml:space="preserve"> across the other two studies (Schmidt et al., 2017; Weiss et al., 2016). </w:t>
      </w:r>
      <w:r w:rsidRPr="009B686A">
        <w:rPr>
          <w:lang w:val="en-US"/>
        </w:rPr>
        <w:t xml:space="preserve">Sexual orientations were not reported in any </w:t>
      </w:r>
      <w:r w:rsidR="00634DC2" w:rsidRPr="009B686A">
        <w:rPr>
          <w:lang w:val="en-US"/>
        </w:rPr>
        <w:t>record</w:t>
      </w:r>
      <w:r w:rsidRPr="009B686A">
        <w:rPr>
          <w:lang w:val="en-US"/>
        </w:rPr>
        <w:t>.</w:t>
      </w:r>
    </w:p>
    <w:p w14:paraId="0CBE8A4E" w14:textId="2E26F77A" w:rsidR="00403D84" w:rsidRDefault="00693972" w:rsidP="00E0546B">
      <w:pPr>
        <w:spacing w:line="480" w:lineRule="auto"/>
        <w:ind w:firstLine="720"/>
      </w:pPr>
      <w:r w:rsidRPr="009B686A">
        <w:rPr>
          <w:rStyle w:val="Heading4Char"/>
          <w:lang w:val="en-US"/>
        </w:rPr>
        <w:t>R</w:t>
      </w:r>
      <w:r w:rsidR="00A42FFE" w:rsidRPr="009B686A">
        <w:rPr>
          <w:rStyle w:val="Heading4Char"/>
          <w:lang w:val="en-US"/>
        </w:rPr>
        <w:t>ace.</w:t>
      </w:r>
      <w:r w:rsidR="00A42FFE" w:rsidRPr="009B686A">
        <w:rPr>
          <w:b/>
          <w:bCs/>
          <w:lang w:val="en-US"/>
        </w:rPr>
        <w:t xml:space="preserve"> </w:t>
      </w:r>
      <w:r w:rsidR="00403D84" w:rsidRPr="009B686A">
        <w:rPr>
          <w:lang w:val="en-US"/>
        </w:rPr>
        <w:t>Participant racial identity was not reported</w:t>
      </w:r>
      <w:r w:rsidR="006F6776">
        <w:rPr>
          <w:lang w:val="en-US"/>
        </w:rPr>
        <w:t xml:space="preserve"> by authors</w:t>
      </w:r>
      <w:r w:rsidR="00403D84" w:rsidRPr="009B686A">
        <w:rPr>
          <w:lang w:val="en-US"/>
        </w:rPr>
        <w:t xml:space="preserve"> in five case stud</w:t>
      </w:r>
      <w:r w:rsidR="006F6776">
        <w:rPr>
          <w:lang w:val="en-US"/>
        </w:rPr>
        <w:t>y designs</w:t>
      </w:r>
      <w:r w:rsidR="00403D84" w:rsidRPr="009B686A">
        <w:rPr>
          <w:lang w:val="en-US"/>
        </w:rPr>
        <w:t xml:space="preserve"> (Cain, 2018; Ciampa, 2017; Courduff, 2011; Gersten &amp; Kelly, 1992; So et al., 2021</w:t>
      </w:r>
      <w:r w:rsidR="006F6776">
        <w:rPr>
          <w:lang w:val="en-US"/>
        </w:rPr>
        <w:t xml:space="preserve">; total </w:t>
      </w:r>
      <m:oMath>
        <m:r>
          <w:rPr>
            <w:rFonts w:ascii="Cambria Math" w:hAnsi="Cambria Math"/>
            <w:lang w:val="en-US"/>
          </w:rPr>
          <m:t>n=22</m:t>
        </m:r>
      </m:oMath>
      <w:r w:rsidR="006F6776">
        <w:rPr>
          <w:lang w:val="en-US"/>
        </w:rPr>
        <w:t>).</w:t>
      </w:r>
      <w:r w:rsidR="00403D84" w:rsidRPr="009B686A">
        <w:rPr>
          <w:lang w:val="en-US"/>
        </w:rPr>
        <w:t xml:space="preserve"> Across the other two records (Du &amp; Lyublinskaya 1992; Hollins 2017), one participant </w:t>
      </w:r>
      <w:r w:rsidR="00D76AE2" w:rsidRPr="009B686A">
        <w:rPr>
          <w:lang w:val="en-US"/>
        </w:rPr>
        <w:t xml:space="preserve">was </w:t>
      </w:r>
      <w:r w:rsidR="00403D84" w:rsidRPr="009B686A">
        <w:rPr>
          <w:lang w:val="en-US"/>
        </w:rPr>
        <w:t xml:space="preserve">identified as Asian, one as Black or African American, two as White (Hispanic or Latino or Spanish Origin), and two as White (Not Hispanic or Latino or Spanish Origin). Race was not reported in any group design records (Byrd-Jones, 2011; Du, 2022; Schmidt et al., 2017; Weiss et al., 2016). </w:t>
      </w:r>
    </w:p>
    <w:p w14:paraId="04CC951A" w14:textId="28C63407" w:rsidR="00403D84" w:rsidRDefault="00C10195" w:rsidP="00E0546B">
      <w:pPr>
        <w:spacing w:line="480" w:lineRule="auto"/>
        <w:ind w:firstLine="720"/>
      </w:pPr>
      <w:r w:rsidRPr="009B686A">
        <w:rPr>
          <w:rStyle w:val="Heading4Char"/>
          <w:lang w:val="en-US"/>
        </w:rPr>
        <w:t>E</w:t>
      </w:r>
      <w:r w:rsidR="00A42FFE" w:rsidRPr="009B686A">
        <w:rPr>
          <w:rStyle w:val="Heading4Char"/>
          <w:lang w:val="en-US"/>
        </w:rPr>
        <w:t>xperience.</w:t>
      </w:r>
      <w:r w:rsidR="00A42FFE" w:rsidRPr="009B686A">
        <w:rPr>
          <w:b/>
          <w:bCs/>
          <w:lang w:val="en-US"/>
        </w:rPr>
        <w:t xml:space="preserve"> </w:t>
      </w:r>
      <w:r w:rsidR="00650885" w:rsidRPr="009B686A">
        <w:rPr>
          <w:lang w:val="en-US"/>
        </w:rPr>
        <w:t xml:space="preserve">Authors reported on </w:t>
      </w:r>
      <w:r w:rsidR="00403D84" w:rsidRPr="009B686A">
        <w:rPr>
          <w:lang w:val="en-US"/>
        </w:rPr>
        <w:t xml:space="preserve">years of </w:t>
      </w:r>
      <w:r w:rsidR="00160CA8" w:rsidRPr="009B686A">
        <w:rPr>
          <w:lang w:val="en-US"/>
        </w:rPr>
        <w:t xml:space="preserve">teaching </w:t>
      </w:r>
      <w:r w:rsidR="00403D84" w:rsidRPr="009B686A">
        <w:rPr>
          <w:lang w:val="en-US"/>
        </w:rPr>
        <w:t xml:space="preserve">experience in all case studies except </w:t>
      </w:r>
      <w:r w:rsidR="0093499D" w:rsidRPr="009B686A">
        <w:rPr>
          <w:lang w:val="en-US"/>
        </w:rPr>
        <w:t xml:space="preserve">for </w:t>
      </w:r>
      <w:r w:rsidR="00650885" w:rsidRPr="009B686A">
        <w:rPr>
          <w:lang w:val="en-US"/>
        </w:rPr>
        <w:t>those from</w:t>
      </w:r>
      <w:r w:rsidR="0093499D" w:rsidRPr="009B686A">
        <w:rPr>
          <w:lang w:val="en-US"/>
        </w:rPr>
        <w:t xml:space="preserve"> </w:t>
      </w:r>
      <w:r w:rsidR="00650885" w:rsidRPr="009B686A">
        <w:rPr>
          <w:lang w:val="en-US"/>
        </w:rPr>
        <w:t>one</w:t>
      </w:r>
      <w:r w:rsidR="0093499D" w:rsidRPr="009B686A">
        <w:rPr>
          <w:lang w:val="en-US"/>
        </w:rPr>
        <w:t xml:space="preserve"> </w:t>
      </w:r>
      <w:r w:rsidR="00D76AE2" w:rsidRPr="009B686A">
        <w:rPr>
          <w:lang w:val="en-US"/>
        </w:rPr>
        <w:t>record (</w:t>
      </w:r>
      <w:r w:rsidR="00160CA8" w:rsidRPr="009B686A">
        <w:rPr>
          <w:lang w:val="en-US"/>
        </w:rPr>
        <w:t xml:space="preserve">Courduff, 2011). </w:t>
      </w:r>
      <w:r w:rsidR="00403D84" w:rsidRPr="009B686A">
        <w:rPr>
          <w:lang w:val="en-US"/>
        </w:rPr>
        <w:t xml:space="preserve">Authors reported a range of </w:t>
      </w:r>
      <w:r w:rsidR="00160CA8" w:rsidRPr="009B686A">
        <w:rPr>
          <w:lang w:val="en-US"/>
        </w:rPr>
        <w:t xml:space="preserve">years </w:t>
      </w:r>
      <w:r w:rsidR="00650885" w:rsidRPr="009B686A">
        <w:rPr>
          <w:lang w:val="en-US"/>
        </w:rPr>
        <w:t>of experience with students</w:t>
      </w:r>
      <w:r w:rsidR="00160CA8" w:rsidRPr="009B686A">
        <w:rPr>
          <w:lang w:val="en-US"/>
        </w:rPr>
        <w:t xml:space="preserve"> </w:t>
      </w:r>
      <w:r w:rsidR="00F63DC5" w:rsidRPr="009B686A">
        <w:rPr>
          <w:lang w:val="en-US"/>
        </w:rPr>
        <w:t>among their participants</w:t>
      </w:r>
      <w:r w:rsidR="00403D84" w:rsidRPr="009B686A">
        <w:rPr>
          <w:lang w:val="en-US"/>
        </w:rPr>
        <w:t xml:space="preserve">, the majority </w:t>
      </w:r>
      <m:oMath>
        <m:r>
          <w:rPr>
            <w:rFonts w:ascii="Cambria Math" w:hAnsi="Cambria Math"/>
          </w:rPr>
          <m:t>(n=9)</m:t>
        </m:r>
      </m:oMath>
      <w:r w:rsidR="008676EC" w:rsidRPr="009B686A">
        <w:rPr>
          <w:lang w:val="en-US"/>
        </w:rPr>
        <w:t xml:space="preserve"> </w:t>
      </w:r>
      <w:r w:rsidR="00650885" w:rsidRPr="009B686A">
        <w:rPr>
          <w:lang w:val="en-US"/>
        </w:rPr>
        <w:t xml:space="preserve">with </w:t>
      </w:r>
      <m:oMath>
        <m:r>
          <w:rPr>
            <w:rFonts w:ascii="Cambria Math" w:hAnsi="Cambria Math"/>
          </w:rPr>
          <m:t>6-10</m:t>
        </m:r>
      </m:oMath>
      <w:r w:rsidR="00403D84" w:rsidRPr="009B686A">
        <w:rPr>
          <w:lang w:val="en-US"/>
        </w:rPr>
        <w:t xml:space="preserve"> followed by </w:t>
      </w:r>
      <m:oMath>
        <m:r>
          <w:rPr>
            <w:rFonts w:ascii="Cambria Math" w:hAnsi="Cambria Math"/>
          </w:rPr>
          <m:t>3-5 (n=5</m:t>
        </m:r>
      </m:oMath>
      <w:r w:rsidR="00403D84" w:rsidRPr="009B686A">
        <w:rPr>
          <w:lang w:val="en-US"/>
        </w:rPr>
        <w:t xml:space="preserve">) and </w:t>
      </w:r>
      <m:oMath>
        <m:r>
          <w:rPr>
            <w:rFonts w:ascii="Cambria Math" w:hAnsi="Cambria Math"/>
          </w:rPr>
          <m:t>11-15 (n=3)</m:t>
        </m:r>
      </m:oMath>
      <w:r w:rsidR="00403D84" w:rsidRPr="009B686A">
        <w:rPr>
          <w:lang w:val="en-US"/>
        </w:rPr>
        <w:t xml:space="preserve">. One participant reported less than </w:t>
      </w:r>
      <m:oMath>
        <m:r>
          <w:rPr>
            <w:rFonts w:ascii="Cambria Math" w:hAnsi="Cambria Math"/>
          </w:rPr>
          <m:t>1</m:t>
        </m:r>
      </m:oMath>
      <w:r w:rsidR="00403D84" w:rsidRPr="009B686A">
        <w:rPr>
          <w:lang w:val="en-US"/>
        </w:rPr>
        <w:t xml:space="preserve"> year of </w:t>
      </w:r>
      <w:r w:rsidR="00160CA8" w:rsidRPr="009B686A">
        <w:rPr>
          <w:lang w:val="en-US"/>
        </w:rPr>
        <w:t xml:space="preserve">teaching </w:t>
      </w:r>
      <w:r w:rsidR="00403D84" w:rsidRPr="009B686A">
        <w:rPr>
          <w:lang w:val="en-US"/>
        </w:rPr>
        <w:t xml:space="preserve">experience </w:t>
      </w:r>
      <m:oMath>
        <m:r>
          <w:rPr>
            <w:rFonts w:ascii="Cambria Math" w:hAnsi="Cambria Math"/>
          </w:rPr>
          <m:t>(n=1)</m:t>
        </m:r>
      </m:oMath>
      <w:r w:rsidR="00403D84" w:rsidRPr="009B686A">
        <w:rPr>
          <w:lang w:val="en-US"/>
        </w:rPr>
        <w:t xml:space="preserve">. </w:t>
      </w:r>
      <w:r w:rsidR="00BC4CDA" w:rsidRPr="009B686A">
        <w:rPr>
          <w:lang w:val="en-US"/>
        </w:rPr>
        <w:t xml:space="preserve">A breakdown of </w:t>
      </w:r>
      <w:r w:rsidR="00A71D1F" w:rsidRPr="009B686A">
        <w:rPr>
          <w:lang w:val="en-US"/>
        </w:rPr>
        <w:t>years</w:t>
      </w:r>
      <w:r w:rsidR="00160CA8" w:rsidRPr="009B686A">
        <w:rPr>
          <w:lang w:val="en-US"/>
        </w:rPr>
        <w:t xml:space="preserve"> of </w:t>
      </w:r>
      <w:r w:rsidR="00810C20" w:rsidRPr="009B686A">
        <w:rPr>
          <w:lang w:val="en-US"/>
        </w:rPr>
        <w:t xml:space="preserve">teaching </w:t>
      </w:r>
      <w:r w:rsidR="00BC4CDA" w:rsidRPr="009B686A">
        <w:rPr>
          <w:lang w:val="en-US"/>
        </w:rPr>
        <w:t xml:space="preserve">experience </w:t>
      </w:r>
      <w:r w:rsidR="00A71D1F" w:rsidRPr="009B686A">
        <w:rPr>
          <w:lang w:val="en-US"/>
        </w:rPr>
        <w:t xml:space="preserve">reported for case studies in all records </w:t>
      </w:r>
      <w:r w:rsidR="00BC4CDA" w:rsidRPr="009B686A">
        <w:rPr>
          <w:lang w:val="en-US"/>
        </w:rPr>
        <w:t xml:space="preserve">can be found in </w:t>
      </w:r>
      <w:r w:rsidR="0061601B" w:rsidRPr="0061601B">
        <w:rPr>
          <w:i/>
          <w:iCs/>
          <w:lang w:val="en-US"/>
        </w:rPr>
        <w:t>Table 3</w:t>
      </w:r>
      <w:r w:rsidR="00BC4CDA" w:rsidRPr="009B686A">
        <w:rPr>
          <w:lang w:val="en-US"/>
        </w:rPr>
        <w:t>.</w:t>
      </w:r>
      <w:r w:rsidR="00160CA8" w:rsidRPr="009B686A" w:rsidDel="00160CA8">
        <w:rPr>
          <w:lang w:val="en-US"/>
        </w:rPr>
        <w:t xml:space="preserve"> </w:t>
      </w:r>
      <w:r w:rsidR="00403D84" w:rsidRPr="009B686A">
        <w:rPr>
          <w:lang w:val="en-US"/>
        </w:rPr>
        <w:t xml:space="preserve">In group designs, Byrd-Jones reported an average of </w:t>
      </w:r>
      <m:oMath>
        <m:r>
          <w:rPr>
            <w:rFonts w:ascii="Cambria Math" w:hAnsi="Cambria Math"/>
          </w:rPr>
          <m:t>13.9</m:t>
        </m:r>
      </m:oMath>
      <w:r w:rsidR="00403D84" w:rsidRPr="009B686A">
        <w:rPr>
          <w:lang w:val="en-US"/>
        </w:rPr>
        <w:t xml:space="preserve"> years of experience (2011). Schmidt et al. </w:t>
      </w:r>
      <w:r w:rsidR="0061601B">
        <w:rPr>
          <w:lang w:val="en-US"/>
        </w:rPr>
        <w:t xml:space="preserve">(2017) </w:t>
      </w:r>
      <w:r w:rsidR="00403D84" w:rsidRPr="009B686A">
        <w:rPr>
          <w:lang w:val="en-US"/>
        </w:rPr>
        <w:t xml:space="preserve">reported that </w:t>
      </w:r>
      <m:oMath>
        <m:r>
          <w:rPr>
            <w:rFonts w:ascii="Cambria Math" w:hAnsi="Cambria Math"/>
          </w:rPr>
          <m:t>33%</m:t>
        </m:r>
      </m:oMath>
      <w:r w:rsidR="00403D84" w:rsidRPr="009B686A">
        <w:rPr>
          <w:lang w:val="en-US"/>
        </w:rPr>
        <w:t xml:space="preserve"> of participants had less than </w:t>
      </w:r>
      <m:oMath>
        <m:r>
          <w:rPr>
            <w:rFonts w:ascii="Cambria Math" w:hAnsi="Cambria Math"/>
          </w:rPr>
          <m:t>5</m:t>
        </m:r>
      </m:oMath>
      <w:r w:rsidR="00403D84" w:rsidRPr="009B686A">
        <w:rPr>
          <w:lang w:val="en-US"/>
        </w:rPr>
        <w:t xml:space="preserve"> years, </w:t>
      </w:r>
      <m:oMath>
        <m:r>
          <w:rPr>
            <w:rFonts w:ascii="Cambria Math" w:hAnsi="Cambria Math"/>
          </w:rPr>
          <m:t>26%</m:t>
        </m:r>
      </m:oMath>
      <w:r w:rsidR="00403D84" w:rsidRPr="009B686A">
        <w:rPr>
          <w:lang w:val="en-US"/>
        </w:rPr>
        <w:t xml:space="preserve"> had </w:t>
      </w:r>
      <m:oMath>
        <m:r>
          <w:rPr>
            <w:rFonts w:ascii="Cambria Math" w:hAnsi="Cambria Math"/>
          </w:rPr>
          <m:t>6</m:t>
        </m:r>
      </m:oMath>
      <w:r w:rsidR="00403D84" w:rsidRPr="009B686A">
        <w:rPr>
          <w:lang w:val="en-US"/>
        </w:rPr>
        <w:t xml:space="preserve"> </w:t>
      </w:r>
      <w:r w:rsidR="00403D84" w:rsidRPr="009B686A">
        <w:rPr>
          <w:lang w:val="en-US"/>
        </w:rPr>
        <w:lastRenderedPageBreak/>
        <w:t xml:space="preserve">to </w:t>
      </w:r>
      <m:oMath>
        <m:r>
          <w:rPr>
            <w:rFonts w:ascii="Cambria Math" w:hAnsi="Cambria Math"/>
          </w:rPr>
          <m:t>10</m:t>
        </m:r>
      </m:oMath>
      <w:r w:rsidR="00403D84" w:rsidRPr="009B686A">
        <w:rPr>
          <w:lang w:val="en-US"/>
        </w:rPr>
        <w:t xml:space="preserve"> years, and </w:t>
      </w:r>
      <m:oMath>
        <m:r>
          <w:rPr>
            <w:rFonts w:ascii="Cambria Math" w:hAnsi="Cambria Math"/>
          </w:rPr>
          <m:t>40%</m:t>
        </m:r>
      </m:oMath>
      <w:r w:rsidR="00403D84" w:rsidRPr="009B686A">
        <w:rPr>
          <w:lang w:val="en-US"/>
        </w:rPr>
        <w:t xml:space="preserve"> had over </w:t>
      </w:r>
      <m:oMath>
        <m:r>
          <w:rPr>
            <w:rFonts w:ascii="Cambria Math" w:hAnsi="Cambria Math"/>
          </w:rPr>
          <m:t>10</m:t>
        </m:r>
      </m:oMath>
      <w:r w:rsidR="00403D84" w:rsidRPr="009B686A">
        <w:rPr>
          <w:lang w:val="en-US"/>
        </w:rPr>
        <w:t xml:space="preserve"> years of experience. Weiss et al.</w:t>
      </w:r>
      <w:r w:rsidR="0061601B">
        <w:rPr>
          <w:lang w:val="en-US"/>
        </w:rPr>
        <w:t xml:space="preserve"> (2016) </w:t>
      </w:r>
      <w:r w:rsidR="00403D84" w:rsidRPr="009B686A">
        <w:rPr>
          <w:lang w:val="en-US"/>
        </w:rPr>
        <w:t xml:space="preserve">reported an average of </w:t>
      </w:r>
      <m:oMath>
        <m:r>
          <w:rPr>
            <w:rFonts w:ascii="Cambria Math" w:hAnsi="Cambria Math"/>
          </w:rPr>
          <m:t>2</m:t>
        </m:r>
      </m:oMath>
      <w:r w:rsidR="00403D84" w:rsidRPr="009B686A">
        <w:rPr>
          <w:lang w:val="en-US"/>
        </w:rPr>
        <w:t xml:space="preserve"> years of experience across all participants. The last study did not report on experience (Du, 2022).</w:t>
      </w:r>
    </w:p>
    <w:p w14:paraId="0B4DEECD" w14:textId="0D8EB14B" w:rsidR="003A4CB7" w:rsidRDefault="003A4CB7" w:rsidP="003A4CB7">
      <w:pPr>
        <w:spacing w:line="480" w:lineRule="auto"/>
        <w:ind w:firstLine="720"/>
      </w:pPr>
      <w:r w:rsidRPr="009B686A">
        <w:rPr>
          <w:lang w:val="en-US"/>
        </w:rPr>
        <w:t xml:space="preserve">All participants in case studies and group designs were reported as having state licensure as special education teachers, except one, who worked in a private school under a special certification (Du &amp; Lyublinskaya, 2022). </w:t>
      </w:r>
    </w:p>
    <w:p w14:paraId="3780B3DA" w14:textId="0077302D" w:rsidR="00403D84" w:rsidRDefault="00403D84" w:rsidP="00E0546B">
      <w:pPr>
        <w:spacing w:line="480" w:lineRule="auto"/>
        <w:ind w:firstLine="720"/>
      </w:pPr>
      <w:r w:rsidRPr="009B686A">
        <w:rPr>
          <w:lang w:val="en-US"/>
        </w:rPr>
        <w:t xml:space="preserve">The highest formal education reached by participants was overwhelmingly not reported by authors across the records examined. One case study anecdotally mentioned a participant who has a master’s degree (Hollins, 2015). Weiss et al. </w:t>
      </w:r>
      <w:r w:rsidR="0061601B">
        <w:rPr>
          <w:lang w:val="en-US"/>
        </w:rPr>
        <w:t xml:space="preserve">(2016 </w:t>
      </w:r>
      <w:r w:rsidRPr="009B686A">
        <w:rPr>
          <w:lang w:val="en-US"/>
        </w:rPr>
        <w:t xml:space="preserve">reported that all teachers in their </w:t>
      </w:r>
      <w:r w:rsidR="00810C20" w:rsidRPr="009B686A">
        <w:rPr>
          <w:lang w:val="en-US"/>
        </w:rPr>
        <w:t xml:space="preserve">group design </w:t>
      </w:r>
      <w:r w:rsidRPr="009B686A">
        <w:rPr>
          <w:lang w:val="en-US"/>
        </w:rPr>
        <w:t>study had bachelor’s degrees. All other records did not report on this variable (Byrd-Jones, 2011; Cain, 2018; Ciampa, 2017; Courduff, 2011; Du, 2022; Du &amp; Lyublinskaya, 2022; Gersten &amp; Kelly, 1992; Schmidt et al., 2017; So et al., 2021).</w:t>
      </w:r>
    </w:p>
    <w:p w14:paraId="7AD2CF41" w14:textId="415FEFBD" w:rsidR="00810C20" w:rsidRDefault="00BC4CDA" w:rsidP="00E0546B">
      <w:pPr>
        <w:spacing w:line="480" w:lineRule="auto"/>
        <w:ind w:firstLine="720"/>
      </w:pPr>
      <w:r w:rsidRPr="009B686A">
        <w:rPr>
          <w:rStyle w:val="Heading4Char"/>
          <w:lang w:val="en-US"/>
        </w:rPr>
        <w:t>Grade Level Taught.</w:t>
      </w:r>
      <w:r w:rsidRPr="009B686A">
        <w:rPr>
          <w:lang w:val="en-US"/>
        </w:rPr>
        <w:t xml:space="preserve"> </w:t>
      </w:r>
      <w:r w:rsidR="00403D84" w:rsidRPr="009B686A">
        <w:rPr>
          <w:lang w:val="en-US"/>
        </w:rPr>
        <w:t xml:space="preserve">The grade level of participants’ teaching was reported </w:t>
      </w:r>
      <m:oMath>
        <m:r>
          <w:rPr>
            <w:rFonts w:ascii="Cambria Math" w:hAnsi="Cambria Math"/>
          </w:rPr>
          <m:t>64</m:t>
        </m:r>
      </m:oMath>
      <w:r w:rsidR="00403D84" w:rsidRPr="009B686A">
        <w:rPr>
          <w:lang w:val="en-US"/>
        </w:rPr>
        <w:t xml:space="preserve">% of case studies </w:t>
      </w:r>
      <m:oMath>
        <m:r>
          <w:rPr>
            <w:rFonts w:ascii="Cambria Math" w:hAnsi="Cambria Math"/>
          </w:rPr>
          <m:t>(n=18)</m:t>
        </m:r>
      </m:oMath>
      <w:r w:rsidR="00403D84" w:rsidRPr="009B686A">
        <w:rPr>
          <w:lang w:val="en-US"/>
        </w:rPr>
        <w:t xml:space="preserve">. Of these participants, the majority </w:t>
      </w:r>
      <w:r w:rsidR="00810C20" w:rsidRPr="009B686A">
        <w:rPr>
          <w:lang w:val="en-US"/>
        </w:rPr>
        <w:t xml:space="preserve">worked with </w:t>
      </w:r>
      <w:r w:rsidR="00403D84" w:rsidRPr="009B686A">
        <w:rPr>
          <w:lang w:val="en-US"/>
        </w:rPr>
        <w:t>second</w:t>
      </w:r>
      <w:r w:rsidR="00C1092A" w:rsidRPr="009B686A">
        <w:rPr>
          <w:lang w:val="en-US"/>
        </w:rPr>
        <w:t>-</w:t>
      </w:r>
      <w:r w:rsidR="00403D84" w:rsidRPr="009B686A">
        <w:rPr>
          <w:lang w:val="en-US"/>
        </w:rPr>
        <w:t xml:space="preserve">grade </w:t>
      </w:r>
      <w:r w:rsidR="00810C20" w:rsidRPr="009B686A">
        <w:rPr>
          <w:lang w:val="en-US"/>
        </w:rPr>
        <w:t xml:space="preserve">students </w:t>
      </w:r>
      <m:oMath>
        <m:r>
          <w:rPr>
            <w:rFonts w:ascii="Cambria Math" w:hAnsi="Cambria Math"/>
          </w:rPr>
          <m:t>(66.7%)</m:t>
        </m:r>
      </m:oMath>
      <w:r w:rsidR="00403D84" w:rsidRPr="009B686A">
        <w:rPr>
          <w:lang w:val="en-US"/>
        </w:rPr>
        <w:t>, followed by fourth and fifth grade</w:t>
      </w:r>
      <w:r w:rsidR="00810C20" w:rsidRPr="009B686A">
        <w:rPr>
          <w:lang w:val="en-US"/>
        </w:rPr>
        <w:t>r</w:t>
      </w:r>
      <w:r w:rsidR="00403D84" w:rsidRPr="009B686A">
        <w:rPr>
          <w:lang w:val="en-US"/>
        </w:rPr>
        <w:t xml:space="preserve">s </w:t>
      </w:r>
      <m:oMath>
        <m:r>
          <w:rPr>
            <w:rFonts w:ascii="Cambria Math" w:hAnsi="Cambria Math"/>
          </w:rPr>
          <m:t xml:space="preserve">(61.1% </m:t>
        </m:r>
        <m:r>
          <m:rPr>
            <m:sty m:val="p"/>
          </m:rPr>
          <w:rPr>
            <w:rFonts w:ascii="Cambria Math" w:hAnsi="Cambria Math"/>
          </w:rPr>
          <m:t>each</m:t>
        </m:r>
        <m:r>
          <w:rPr>
            <w:rFonts w:ascii="Cambria Math" w:hAnsi="Cambria Math"/>
          </w:rPr>
          <m:t>)</m:t>
        </m:r>
      </m:oMath>
      <w:r w:rsidR="00403D84" w:rsidRPr="009B686A">
        <w:rPr>
          <w:lang w:val="en-US"/>
        </w:rPr>
        <w:t xml:space="preserve">. Approximately </w:t>
      </w:r>
      <m:oMath>
        <m:r>
          <w:rPr>
            <w:rFonts w:ascii="Cambria Math" w:hAnsi="Cambria Math"/>
          </w:rPr>
          <m:t>50.0%</m:t>
        </m:r>
      </m:oMath>
      <w:r w:rsidR="00403D84" w:rsidRPr="009B686A">
        <w:rPr>
          <w:lang w:val="en-US"/>
        </w:rPr>
        <w:t xml:space="preserve"> taught first grade, while </w:t>
      </w:r>
      <m:oMath>
        <m:r>
          <w:rPr>
            <w:rFonts w:ascii="Cambria Math" w:hAnsi="Cambria Math"/>
          </w:rPr>
          <m:t>38.9%</m:t>
        </m:r>
      </m:oMath>
      <w:r w:rsidR="00403D84" w:rsidRPr="009B686A">
        <w:rPr>
          <w:lang w:val="en-US"/>
        </w:rPr>
        <w:t xml:space="preserve"> were responsible for </w:t>
      </w:r>
      <w:r w:rsidR="004033C4" w:rsidRPr="009B686A">
        <w:rPr>
          <w:lang w:val="en-US"/>
        </w:rPr>
        <w:t xml:space="preserve">teaching </w:t>
      </w:r>
      <w:r w:rsidR="00403D84" w:rsidRPr="009B686A">
        <w:rPr>
          <w:lang w:val="en-US"/>
        </w:rPr>
        <w:t xml:space="preserve">kindergarten and third grade. Few participants reported teaching middle or high school grades, with only </w:t>
      </w:r>
      <m:oMath>
        <m:r>
          <w:rPr>
            <w:rFonts w:ascii="Cambria Math" w:hAnsi="Cambria Math"/>
          </w:rPr>
          <m:t>11.1%</m:t>
        </m:r>
      </m:oMath>
      <w:r w:rsidR="00403D84" w:rsidRPr="009B686A">
        <w:rPr>
          <w:lang w:val="en-US"/>
        </w:rPr>
        <w:t xml:space="preserve"> responsible for Grades 9–12 and </w:t>
      </w:r>
      <m:oMath>
        <m:r>
          <w:rPr>
            <w:rFonts w:ascii="Cambria Math" w:hAnsi="Cambria Math"/>
          </w:rPr>
          <m:t>5.6%</m:t>
        </m:r>
      </m:oMath>
      <w:r w:rsidR="00403D84" w:rsidRPr="009B686A">
        <w:rPr>
          <w:lang w:val="en-US"/>
        </w:rPr>
        <w:t xml:space="preserve"> for middle school students (grades 6-8). In one study (Gersten &amp; Kelly, 1992), participants were reported as teaching high school, but </w:t>
      </w:r>
      <w:r w:rsidR="00C1092A" w:rsidRPr="009B686A">
        <w:rPr>
          <w:lang w:val="en-US"/>
        </w:rPr>
        <w:t xml:space="preserve">the </w:t>
      </w:r>
      <w:r w:rsidR="00403D84" w:rsidRPr="009B686A">
        <w:rPr>
          <w:lang w:val="en-US"/>
        </w:rPr>
        <w:t xml:space="preserve">specific grade level was not discussed. </w:t>
      </w:r>
      <w:r w:rsidR="00E0418A" w:rsidRPr="009B686A">
        <w:rPr>
          <w:lang w:val="en-US"/>
        </w:rPr>
        <w:t xml:space="preserve">See </w:t>
      </w:r>
      <w:r w:rsidR="00810C20" w:rsidRPr="009B686A">
        <w:rPr>
          <w:i/>
          <w:iCs/>
          <w:lang w:val="en-US"/>
        </w:rPr>
        <w:t>T</w:t>
      </w:r>
      <w:r w:rsidR="00E0418A" w:rsidRPr="009B686A">
        <w:rPr>
          <w:i/>
          <w:iCs/>
          <w:lang w:val="en-US"/>
        </w:rPr>
        <w:t xml:space="preserve">able </w:t>
      </w:r>
      <w:r w:rsidR="00F646D8" w:rsidRPr="009B686A">
        <w:rPr>
          <w:i/>
          <w:iCs/>
          <w:lang w:val="en-US"/>
        </w:rPr>
        <w:t>4</w:t>
      </w:r>
      <w:r w:rsidR="00E0418A" w:rsidRPr="009B686A">
        <w:rPr>
          <w:lang w:val="en-US"/>
        </w:rPr>
        <w:t xml:space="preserve"> for </w:t>
      </w:r>
      <w:r w:rsidR="00C832D7" w:rsidRPr="009B686A">
        <w:rPr>
          <w:lang w:val="en-US"/>
        </w:rPr>
        <w:t>the</w:t>
      </w:r>
      <w:r w:rsidR="00E0418A" w:rsidRPr="009B686A">
        <w:rPr>
          <w:lang w:val="en-US"/>
        </w:rPr>
        <w:t xml:space="preserve"> grade level</w:t>
      </w:r>
      <w:r w:rsidR="00810C20" w:rsidRPr="009B686A">
        <w:rPr>
          <w:lang w:val="en-US"/>
        </w:rPr>
        <w:t>s</w:t>
      </w:r>
      <w:r w:rsidR="00E0418A" w:rsidRPr="009B686A">
        <w:rPr>
          <w:lang w:val="en-US"/>
        </w:rPr>
        <w:t xml:space="preserve"> taught</w:t>
      </w:r>
      <w:r w:rsidR="00810C20" w:rsidRPr="009B686A">
        <w:rPr>
          <w:lang w:val="en-US"/>
        </w:rPr>
        <w:t xml:space="preserve"> per participant in each case study record</w:t>
      </w:r>
      <w:r w:rsidR="00E0418A" w:rsidRPr="009B686A">
        <w:rPr>
          <w:lang w:val="en-US"/>
        </w:rPr>
        <w:t xml:space="preserve">. </w:t>
      </w:r>
      <w:r w:rsidR="00403D84" w:rsidRPr="009B686A">
        <w:rPr>
          <w:lang w:val="en-US"/>
        </w:rPr>
        <w:t xml:space="preserve">In group design </w:t>
      </w:r>
      <w:r w:rsidR="006F6776">
        <w:rPr>
          <w:lang w:val="en-US"/>
        </w:rPr>
        <w:t>records</w:t>
      </w:r>
      <w:r w:rsidR="00403D84" w:rsidRPr="009B686A">
        <w:rPr>
          <w:lang w:val="en-US"/>
        </w:rPr>
        <w:t xml:space="preserve">, Byrd- Jones (2011) had the most comprehensive data reported on participants </w:t>
      </w:r>
      <m:oMath>
        <m:r>
          <w:rPr>
            <w:rFonts w:ascii="Cambria Math" w:hAnsi="Cambria Math"/>
          </w:rPr>
          <m:t>(n=322)</m:t>
        </m:r>
      </m:oMath>
      <w:r w:rsidR="00403D84" w:rsidRPr="009B686A">
        <w:rPr>
          <w:lang w:val="en-US"/>
        </w:rPr>
        <w:t xml:space="preserve">, with </w:t>
      </w:r>
      <w:r w:rsidR="0061601B">
        <w:rPr>
          <w:lang w:val="en-US"/>
        </w:rPr>
        <w:t xml:space="preserve">multiple </w:t>
      </w:r>
      <w:r w:rsidR="00403D84" w:rsidRPr="009B686A">
        <w:rPr>
          <w:lang w:val="en-US"/>
        </w:rPr>
        <w:t xml:space="preserve">grade levels </w:t>
      </w:r>
      <w:r w:rsidR="00DD0C46">
        <w:rPr>
          <w:lang w:val="en-US"/>
        </w:rPr>
        <w:t xml:space="preserve">taught </w:t>
      </w:r>
      <w:r w:rsidR="0061601B">
        <w:rPr>
          <w:lang w:val="en-US"/>
        </w:rPr>
        <w:t xml:space="preserve">by each participant, </w:t>
      </w:r>
      <w:r w:rsidR="00403D84" w:rsidRPr="009B686A">
        <w:rPr>
          <w:lang w:val="en-US"/>
        </w:rPr>
        <w:t xml:space="preserve">described as PK </w:t>
      </w:r>
      <m:oMath>
        <m:r>
          <w:rPr>
            <w:rFonts w:ascii="Cambria Math" w:hAnsi="Cambria Math"/>
          </w:rPr>
          <m:t>(13.3%)</m:t>
        </m:r>
      </m:oMath>
      <w:r w:rsidR="00403D84" w:rsidRPr="009B686A">
        <w:rPr>
          <w:lang w:val="en-US"/>
        </w:rPr>
        <w:t xml:space="preserve">, K </w:t>
      </w:r>
      <m:oMath>
        <m:r>
          <w:rPr>
            <w:rFonts w:ascii="Cambria Math" w:hAnsi="Cambria Math"/>
          </w:rPr>
          <m:t>(27.1%)</m:t>
        </m:r>
      </m:oMath>
      <w:r w:rsidR="00403D84" w:rsidRPr="009B686A">
        <w:rPr>
          <w:lang w:val="en-US"/>
        </w:rPr>
        <w:t xml:space="preserve">, 1 </w:t>
      </w:r>
      <m:oMath>
        <m:r>
          <w:rPr>
            <w:rFonts w:ascii="Cambria Math" w:hAnsi="Cambria Math"/>
          </w:rPr>
          <m:t>(32.9%)</m:t>
        </m:r>
      </m:oMath>
      <w:r w:rsidR="00403D84" w:rsidRPr="009B686A">
        <w:rPr>
          <w:lang w:val="en-US"/>
        </w:rPr>
        <w:t xml:space="preserve">, 2 </w:t>
      </w:r>
      <m:oMath>
        <m:r>
          <w:rPr>
            <w:rFonts w:ascii="Cambria Math" w:hAnsi="Cambria Math"/>
          </w:rPr>
          <m:t>(32.0%)</m:t>
        </m:r>
      </m:oMath>
      <w:r w:rsidR="00403D84" w:rsidRPr="009B686A">
        <w:rPr>
          <w:lang w:val="en-US"/>
        </w:rPr>
        <w:t xml:space="preserve">, 3 </w:t>
      </w:r>
      <m:oMath>
        <m:r>
          <w:rPr>
            <w:rFonts w:ascii="Cambria Math" w:hAnsi="Cambria Math"/>
          </w:rPr>
          <m:t>(36.3%)</m:t>
        </m:r>
      </m:oMath>
      <w:r w:rsidR="00403D84" w:rsidRPr="009B686A">
        <w:rPr>
          <w:lang w:val="en-US"/>
        </w:rPr>
        <w:t xml:space="preserve">, 4 </w:t>
      </w:r>
      <m:oMath>
        <m:r>
          <w:rPr>
            <w:rFonts w:ascii="Cambria Math" w:hAnsi="Cambria Math"/>
          </w:rPr>
          <m:t>(37.5%)</m:t>
        </m:r>
      </m:oMath>
      <w:r w:rsidR="00403D84" w:rsidRPr="009B686A">
        <w:rPr>
          <w:lang w:val="en-US"/>
        </w:rPr>
        <w:t xml:space="preserve">, 5 </w:t>
      </w:r>
      <m:oMath>
        <m:r>
          <w:rPr>
            <w:rFonts w:ascii="Cambria Math" w:hAnsi="Cambria Math"/>
          </w:rPr>
          <m:t>(36.9%)</m:t>
        </m:r>
      </m:oMath>
      <w:r w:rsidR="00403D84" w:rsidRPr="009B686A">
        <w:rPr>
          <w:lang w:val="en-US"/>
        </w:rPr>
        <w:t>, 6</w:t>
      </w:r>
      <w:r w:rsidR="005D7B93" w:rsidRPr="009B686A">
        <w:rPr>
          <w:lang w:val="en-US"/>
        </w:rPr>
        <w:t xml:space="preserve"> </w:t>
      </w:r>
      <m:oMath>
        <m:r>
          <w:rPr>
            <w:rFonts w:ascii="Cambria Math" w:hAnsi="Cambria Math"/>
          </w:rPr>
          <m:t>(25.1%)</m:t>
        </m:r>
      </m:oMath>
      <w:r w:rsidR="00403D84" w:rsidRPr="009B686A">
        <w:rPr>
          <w:lang w:val="en-US"/>
        </w:rPr>
        <w:t xml:space="preserve">. 7 </w:t>
      </w:r>
      <m:oMath>
        <m:r>
          <w:rPr>
            <w:rFonts w:ascii="Cambria Math" w:hAnsi="Cambria Math"/>
          </w:rPr>
          <m:t>(22.2%)</m:t>
        </m:r>
      </m:oMath>
      <w:r w:rsidR="00403D84" w:rsidRPr="009B686A">
        <w:rPr>
          <w:lang w:val="en-US"/>
        </w:rPr>
        <w:t xml:space="preserve">, 8 </w:t>
      </w:r>
      <m:oMath>
        <m:r>
          <w:rPr>
            <w:rFonts w:ascii="Cambria Math" w:hAnsi="Cambria Math"/>
          </w:rPr>
          <w:lastRenderedPageBreak/>
          <m:t>(22.5%)</m:t>
        </m:r>
      </m:oMath>
      <w:r w:rsidR="00403D84" w:rsidRPr="009B686A">
        <w:rPr>
          <w:lang w:val="en-US"/>
        </w:rPr>
        <w:t xml:space="preserve">, 9 </w:t>
      </w:r>
      <m:oMath>
        <m:r>
          <w:rPr>
            <w:rFonts w:ascii="Cambria Math" w:hAnsi="Cambria Math"/>
          </w:rPr>
          <m:t>(28.0%)</m:t>
        </m:r>
      </m:oMath>
      <w:r w:rsidR="00403D84" w:rsidRPr="009B686A">
        <w:rPr>
          <w:lang w:val="en-US"/>
        </w:rPr>
        <w:t xml:space="preserve">, 10 </w:t>
      </w:r>
      <m:oMath>
        <m:r>
          <w:rPr>
            <w:rFonts w:ascii="Cambria Math" w:hAnsi="Cambria Math"/>
          </w:rPr>
          <m:t>(29.1%)</m:t>
        </m:r>
      </m:oMath>
      <w:r w:rsidR="00403D84" w:rsidRPr="009B686A">
        <w:rPr>
          <w:lang w:val="en-US"/>
        </w:rPr>
        <w:t xml:space="preserve">, 11 </w:t>
      </w:r>
      <m:oMath>
        <m:r>
          <w:rPr>
            <w:rFonts w:ascii="Cambria Math" w:hAnsi="Cambria Math"/>
          </w:rPr>
          <m:t>(29.4%)</m:t>
        </m:r>
      </m:oMath>
      <w:r w:rsidR="00403D84" w:rsidRPr="009B686A">
        <w:rPr>
          <w:lang w:val="en-US"/>
        </w:rPr>
        <w:t xml:space="preserve">, and 12 </w:t>
      </w:r>
      <m:oMath>
        <m:r>
          <w:rPr>
            <w:rFonts w:ascii="Cambria Math" w:hAnsi="Cambria Math"/>
          </w:rPr>
          <m:t>(26.2%)</m:t>
        </m:r>
      </m:oMath>
      <w:r w:rsidR="00403D84" w:rsidRPr="009B686A">
        <w:rPr>
          <w:lang w:val="en-US"/>
        </w:rPr>
        <w:t xml:space="preserve">. Weiss et. al. (2016) reported participants as teaching </w:t>
      </w:r>
      <m:oMath>
        <m:r>
          <w:rPr>
            <w:rFonts w:ascii="Cambria Math" w:hAnsi="Cambria Math"/>
          </w:rPr>
          <m:t>40.5%</m:t>
        </m:r>
      </m:oMath>
      <w:r w:rsidR="00403D84" w:rsidRPr="009B686A">
        <w:rPr>
          <w:lang w:val="en-US"/>
        </w:rPr>
        <w:t xml:space="preserve"> at the elementary level, </w:t>
      </w:r>
      <m:oMath>
        <m:r>
          <w:rPr>
            <w:rFonts w:ascii="Cambria Math" w:hAnsi="Cambria Math"/>
          </w:rPr>
          <m:t>16.2%</m:t>
        </m:r>
      </m:oMath>
      <w:r w:rsidR="00403D84" w:rsidRPr="009B686A">
        <w:rPr>
          <w:lang w:val="en-US"/>
        </w:rPr>
        <w:t xml:space="preserve"> at middle schools, </w:t>
      </w:r>
      <m:oMath>
        <m:r>
          <w:rPr>
            <w:rFonts w:ascii="Cambria Math" w:hAnsi="Cambria Math"/>
          </w:rPr>
          <m:t>32.4%</m:t>
        </m:r>
      </m:oMath>
      <w:r w:rsidR="00403D84" w:rsidRPr="009B686A">
        <w:rPr>
          <w:lang w:val="en-US"/>
        </w:rPr>
        <w:t xml:space="preserve"> at high schools, and </w:t>
      </w:r>
      <m:oMath>
        <m:r>
          <w:rPr>
            <w:rFonts w:ascii="Cambria Math" w:hAnsi="Cambria Math"/>
          </w:rPr>
          <m:t>10.8%</m:t>
        </m:r>
      </m:oMath>
      <w:r w:rsidR="00403D84" w:rsidRPr="009B686A">
        <w:rPr>
          <w:lang w:val="en-US"/>
        </w:rPr>
        <w:t xml:space="preserve"> at combined secondary schools.</w:t>
      </w:r>
    </w:p>
    <w:p w14:paraId="61F64206" w14:textId="73597E54" w:rsidR="00403D84" w:rsidRDefault="007879E0" w:rsidP="00E0546B">
      <w:pPr>
        <w:spacing w:line="480" w:lineRule="auto"/>
        <w:ind w:firstLine="720"/>
      </w:pPr>
      <w:r w:rsidRPr="009B686A">
        <w:rPr>
          <w:rStyle w:val="Heading4Char"/>
          <w:lang w:val="en-US"/>
        </w:rPr>
        <w:t>Pre Intervention Technology Training.</w:t>
      </w:r>
      <w:r w:rsidRPr="009B686A">
        <w:rPr>
          <w:lang w:val="en-US"/>
        </w:rPr>
        <w:t xml:space="preserve"> </w:t>
      </w:r>
      <w:bookmarkStart w:id="12" w:name="_Hlk198578867"/>
      <w:r w:rsidR="00403D84" w:rsidRPr="009B686A">
        <w:rPr>
          <w:lang w:val="en-US"/>
        </w:rPr>
        <w:t xml:space="preserve">Four case studies (Cain, 2018; Ciampa, 2017) reported on teacher technology training </w:t>
      </w:r>
      <w:r w:rsidR="00D0513F" w:rsidRPr="009B686A">
        <w:rPr>
          <w:lang w:val="en-US"/>
        </w:rPr>
        <w:t>prior to</w:t>
      </w:r>
      <w:r w:rsidR="00403D84" w:rsidRPr="009B686A">
        <w:rPr>
          <w:lang w:val="en-US"/>
        </w:rPr>
        <w:t xml:space="preserve"> the </w:t>
      </w:r>
      <w:r w:rsidR="00D51C4D">
        <w:rPr>
          <w:lang w:val="en-US"/>
        </w:rPr>
        <w:t>PD</w:t>
      </w:r>
      <w:r w:rsidR="00403D84" w:rsidRPr="009B686A">
        <w:rPr>
          <w:lang w:val="en-US"/>
        </w:rPr>
        <w:t xml:space="preserve"> intervention. Three reported having informal training</w:t>
      </w:r>
      <w:r w:rsidR="000A03DD" w:rsidRPr="009B686A">
        <w:rPr>
          <w:lang w:val="en-US"/>
        </w:rPr>
        <w:t xml:space="preserve"> (</w:t>
      </w:r>
      <w:r w:rsidR="00F40BAF" w:rsidRPr="009B686A">
        <w:rPr>
          <w:lang w:val="en-US"/>
        </w:rPr>
        <w:t>Cain, 2018</w:t>
      </w:r>
      <w:r w:rsidR="00E060FF" w:rsidRPr="009B686A">
        <w:rPr>
          <w:lang w:val="en-US"/>
        </w:rPr>
        <w:t>;</w:t>
      </w:r>
      <w:r w:rsidR="002C154A" w:rsidRPr="009B686A">
        <w:rPr>
          <w:lang w:val="en-US"/>
        </w:rPr>
        <w:t xml:space="preserve"> Ciampa, 2017</w:t>
      </w:r>
      <w:r w:rsidR="00E82C5B">
        <w:rPr>
          <w:lang w:val="en-US"/>
        </w:rPr>
        <w:t xml:space="preserve">; </w:t>
      </w:r>
      <m:oMath>
        <m:r>
          <w:rPr>
            <w:rFonts w:ascii="Cambria Math" w:hAnsi="Cambria Math"/>
            <w:lang w:val="en-US"/>
          </w:rPr>
          <m:t>n=3</m:t>
        </m:r>
      </m:oMath>
      <w:r w:rsidR="002C154A" w:rsidRPr="009B686A">
        <w:rPr>
          <w:lang w:val="en-US"/>
        </w:rPr>
        <w:t>)</w:t>
      </w:r>
      <w:r w:rsidR="00403D84" w:rsidRPr="009B686A">
        <w:rPr>
          <w:lang w:val="en-US"/>
        </w:rPr>
        <w:t>, and one reported having no training</w:t>
      </w:r>
      <w:r w:rsidR="000A03DD" w:rsidRPr="009B686A">
        <w:rPr>
          <w:lang w:val="en-US"/>
        </w:rPr>
        <w:t xml:space="preserve"> </w:t>
      </w:r>
      <w:r w:rsidR="00E82C5B">
        <w:rPr>
          <w:lang w:val="en-US"/>
        </w:rPr>
        <w:t>(</w:t>
      </w:r>
      <w:r w:rsidR="00AE62D8" w:rsidRPr="009B686A">
        <w:rPr>
          <w:lang w:val="en-US"/>
        </w:rPr>
        <w:t>Ciampa, 2017</w:t>
      </w:r>
      <w:r w:rsidR="00E82C5B">
        <w:rPr>
          <w:lang w:val="en-US"/>
        </w:rPr>
        <w:t xml:space="preserve">; </w:t>
      </w:r>
      <m:oMath>
        <m:r>
          <w:rPr>
            <w:rFonts w:ascii="Cambria Math" w:hAnsi="Cambria Math"/>
            <w:lang w:val="en-US"/>
          </w:rPr>
          <m:t>n=1</m:t>
        </m:r>
      </m:oMath>
      <w:r w:rsidR="000A03DD" w:rsidRPr="009B686A">
        <w:rPr>
          <w:lang w:val="en-US"/>
        </w:rPr>
        <w:t>).</w:t>
      </w:r>
      <w:r w:rsidR="00403D84" w:rsidRPr="009B686A">
        <w:rPr>
          <w:lang w:val="en-US"/>
        </w:rPr>
        <w:t xml:space="preserve"> </w:t>
      </w:r>
      <w:bookmarkEnd w:id="12"/>
      <w:r w:rsidR="00403D84" w:rsidRPr="009B686A">
        <w:rPr>
          <w:lang w:val="en-US"/>
        </w:rPr>
        <w:t xml:space="preserve">This variable was not reported across all other case studies (Courduff, 2011; Du &amp; Lyublinskaya, Gersten &amp; Kelly, 1992; Hollins, 2017; So et al., 2021). Only Byrd-Jones (2011) reported on this variable in group designs, with </w:t>
      </w:r>
      <m:oMath>
        <m:r>
          <w:rPr>
            <w:rFonts w:ascii="Cambria Math" w:hAnsi="Cambria Math"/>
          </w:rPr>
          <m:t>34%</m:t>
        </m:r>
      </m:oMath>
      <w:r w:rsidR="00403D84" w:rsidRPr="009B686A">
        <w:rPr>
          <w:lang w:val="en-US"/>
        </w:rPr>
        <w:t xml:space="preserve"> of participants reporting informal training and </w:t>
      </w:r>
      <m:oMath>
        <m:r>
          <w:rPr>
            <w:rFonts w:ascii="Cambria Math" w:hAnsi="Cambria Math"/>
          </w:rPr>
          <m:t>25%</m:t>
        </m:r>
      </m:oMath>
      <w:r w:rsidR="00403D84" w:rsidRPr="009B686A">
        <w:rPr>
          <w:lang w:val="en-US"/>
        </w:rPr>
        <w:t xml:space="preserve"> reporting formal training. The other </w:t>
      </w:r>
      <m:oMath>
        <m:r>
          <w:rPr>
            <w:rFonts w:ascii="Cambria Math" w:hAnsi="Cambria Math"/>
          </w:rPr>
          <m:t>41%</m:t>
        </m:r>
      </m:oMath>
      <w:r w:rsidR="00403D84" w:rsidRPr="009B686A">
        <w:rPr>
          <w:lang w:val="en-US"/>
        </w:rPr>
        <w:t xml:space="preserve"> were not reported, and the reviewers assumed the ambiguity meant no training. Du, 2022; Schmidt et al., 2017; Weiss et al., 2016 did not report on this variable.</w:t>
      </w:r>
    </w:p>
    <w:p w14:paraId="3F4FDCC9" w14:textId="0E985173" w:rsidR="00403D84" w:rsidRDefault="00403D84" w:rsidP="00E0546B">
      <w:pPr>
        <w:spacing w:line="480" w:lineRule="auto"/>
        <w:ind w:firstLine="720"/>
      </w:pPr>
      <w:r w:rsidRPr="009B686A">
        <w:rPr>
          <w:rStyle w:val="Heading4Char"/>
          <w:lang w:val="en-US"/>
        </w:rPr>
        <w:t xml:space="preserve">Technology </w:t>
      </w:r>
      <w:r w:rsidR="007879E0" w:rsidRPr="009B686A">
        <w:rPr>
          <w:rStyle w:val="Heading4Char"/>
          <w:lang w:val="en-US"/>
        </w:rPr>
        <w:t>U</w:t>
      </w:r>
      <w:r w:rsidRPr="009B686A">
        <w:rPr>
          <w:rStyle w:val="Heading4Char"/>
          <w:lang w:val="en-US"/>
        </w:rPr>
        <w:t xml:space="preserve">se in </w:t>
      </w:r>
      <w:r w:rsidR="007879E0" w:rsidRPr="009B686A">
        <w:rPr>
          <w:rStyle w:val="Heading4Char"/>
          <w:lang w:val="en-US"/>
        </w:rPr>
        <w:t>P</w:t>
      </w:r>
      <w:r w:rsidRPr="009B686A">
        <w:rPr>
          <w:rStyle w:val="Heading4Char"/>
          <w:lang w:val="en-US"/>
        </w:rPr>
        <w:t>ractice</w:t>
      </w:r>
      <w:r w:rsidR="003E39C8" w:rsidRPr="009B686A">
        <w:rPr>
          <w:rStyle w:val="Heading4Char"/>
          <w:lang w:val="en-US"/>
        </w:rPr>
        <w:t>.</w:t>
      </w:r>
      <w:r w:rsidRPr="009B686A">
        <w:rPr>
          <w:lang w:val="en-US"/>
        </w:rPr>
        <w:t xml:space="preserve"> </w:t>
      </w:r>
      <w:r w:rsidR="003E39C8" w:rsidRPr="009B686A">
        <w:rPr>
          <w:lang w:val="en-US"/>
        </w:rPr>
        <w:t>According to record authors, n</w:t>
      </w:r>
      <w:r w:rsidRPr="009B686A">
        <w:rPr>
          <w:lang w:val="en-US"/>
        </w:rPr>
        <w:t>o participants report</w:t>
      </w:r>
      <w:r w:rsidR="003E39C8" w:rsidRPr="009B686A">
        <w:rPr>
          <w:lang w:val="en-US"/>
        </w:rPr>
        <w:t>ed</w:t>
      </w:r>
      <w:r w:rsidRPr="009B686A">
        <w:rPr>
          <w:lang w:val="en-US"/>
        </w:rPr>
        <w:t xml:space="preserve"> </w:t>
      </w:r>
      <w:r w:rsidR="003E39C8" w:rsidRPr="009B686A">
        <w:rPr>
          <w:lang w:val="en-US"/>
        </w:rPr>
        <w:t>“</w:t>
      </w:r>
      <w:r w:rsidRPr="009B686A">
        <w:rPr>
          <w:lang w:val="en-US"/>
        </w:rPr>
        <w:t>always</w:t>
      </w:r>
      <w:r w:rsidR="003E39C8" w:rsidRPr="009B686A">
        <w:rPr>
          <w:lang w:val="en-US"/>
        </w:rPr>
        <w:t>”</w:t>
      </w:r>
      <w:r w:rsidRPr="009B686A">
        <w:rPr>
          <w:lang w:val="en-US"/>
        </w:rPr>
        <w:t xml:space="preserve"> </w:t>
      </w:r>
      <w:r w:rsidR="003E39C8" w:rsidRPr="009B686A">
        <w:rPr>
          <w:lang w:val="en-US"/>
        </w:rPr>
        <w:t>or</w:t>
      </w:r>
      <w:r w:rsidRPr="009B686A">
        <w:rPr>
          <w:lang w:val="en-US"/>
        </w:rPr>
        <w:t xml:space="preserve"> </w:t>
      </w:r>
      <w:r w:rsidR="003E39C8" w:rsidRPr="009B686A">
        <w:rPr>
          <w:lang w:val="en-US"/>
        </w:rPr>
        <w:t>“</w:t>
      </w:r>
      <w:r w:rsidRPr="009B686A">
        <w:rPr>
          <w:lang w:val="en-US"/>
        </w:rPr>
        <w:t>never</w:t>
      </w:r>
      <w:r w:rsidR="003E39C8" w:rsidRPr="009B686A">
        <w:rPr>
          <w:lang w:val="en-US"/>
        </w:rPr>
        <w:t>” using technology</w:t>
      </w:r>
      <w:r w:rsidRPr="009B686A">
        <w:rPr>
          <w:lang w:val="en-US"/>
        </w:rPr>
        <w:t xml:space="preserve"> in their practice. </w:t>
      </w:r>
      <w:r w:rsidR="00E058BB" w:rsidRPr="009B686A">
        <w:rPr>
          <w:lang w:val="en-US"/>
        </w:rPr>
        <w:t>D</w:t>
      </w:r>
      <w:r w:rsidRPr="009B686A">
        <w:rPr>
          <w:lang w:val="en-US"/>
        </w:rPr>
        <w:t xml:space="preserve">ata appears skewed to the mean, with half of participants </w:t>
      </w:r>
      <m:oMath>
        <m:r>
          <w:rPr>
            <w:rFonts w:ascii="Cambria Math" w:hAnsi="Cambria Math"/>
          </w:rPr>
          <m:t>(n=14)</m:t>
        </m:r>
      </m:oMath>
      <w:r w:rsidRPr="009B686A">
        <w:rPr>
          <w:lang w:val="en-US"/>
        </w:rPr>
        <w:t xml:space="preserve"> reporting occasionally, two reporting rarely, and one reporting often</w:t>
      </w:r>
      <w:r w:rsidR="00421207" w:rsidRPr="009B686A">
        <w:rPr>
          <w:lang w:val="en-US"/>
        </w:rPr>
        <w:t xml:space="preserve"> using technology in their practice</w:t>
      </w:r>
      <w:r w:rsidRPr="009B686A">
        <w:rPr>
          <w:lang w:val="en-US"/>
        </w:rPr>
        <w:t xml:space="preserve">. The remaining </w:t>
      </w:r>
      <w:r w:rsidR="00FE782A" w:rsidRPr="009B686A">
        <w:rPr>
          <w:lang w:val="en-US"/>
        </w:rPr>
        <w:t xml:space="preserve">record authors </w:t>
      </w:r>
      <w:r w:rsidRPr="009B686A">
        <w:rPr>
          <w:lang w:val="en-US"/>
        </w:rPr>
        <w:t xml:space="preserve">did not report </w:t>
      </w:r>
      <w:r w:rsidR="00421207" w:rsidRPr="009B686A">
        <w:rPr>
          <w:lang w:val="en-US"/>
        </w:rPr>
        <w:t>on teacher pre</w:t>
      </w:r>
      <w:r w:rsidR="00DB2E3D" w:rsidRPr="009B686A">
        <w:rPr>
          <w:lang w:val="en-US"/>
        </w:rPr>
        <w:t>-inter</w:t>
      </w:r>
      <w:r w:rsidR="00421207" w:rsidRPr="009B686A">
        <w:rPr>
          <w:lang w:val="en-US"/>
        </w:rPr>
        <w:t>vention technology use</w:t>
      </w:r>
      <w:r w:rsidRPr="009B686A">
        <w:rPr>
          <w:lang w:val="en-US"/>
        </w:rPr>
        <w:t xml:space="preserve"> </w:t>
      </w:r>
      <w:r w:rsidR="00E058BB" w:rsidRPr="009B686A">
        <w:rPr>
          <w:lang w:val="en-US"/>
        </w:rPr>
        <w:t xml:space="preserve">in their case studies </w:t>
      </w:r>
      <w:r w:rsidRPr="009B686A">
        <w:rPr>
          <w:lang w:val="en-US"/>
        </w:rPr>
        <w:t>(</w:t>
      </w:r>
      <w:r w:rsidR="00E0396B" w:rsidRPr="003E2A61">
        <w:rPr>
          <w:rFonts w:eastAsia="Aptos"/>
          <w:kern w:val="2"/>
          <w:lang w:val="en-US"/>
          <w14:ligatures w14:val="standardContextual"/>
        </w:rPr>
        <w:t>Gersten &amp; Kelly</w:t>
      </w:r>
      <w:r w:rsidR="00E058BB" w:rsidRPr="009B686A">
        <w:rPr>
          <w:lang w:val="en-US"/>
        </w:rPr>
        <w:t>, 1992; Hollins, 2017; So et al., 2021</w:t>
      </w:r>
      <w:r w:rsidR="00E82C5B">
        <w:rPr>
          <w:lang w:val="en-US"/>
        </w:rPr>
        <w:t xml:space="preserve">; total </w:t>
      </w:r>
      <m:oMath>
        <m:r>
          <w:rPr>
            <w:rFonts w:ascii="Cambria Math" w:hAnsi="Cambria Math"/>
            <w:lang w:val="en-US"/>
          </w:rPr>
          <m:t>n=11</m:t>
        </m:r>
      </m:oMath>
      <w:r w:rsidRPr="009B686A">
        <w:rPr>
          <w:lang w:val="en-US"/>
        </w:rPr>
        <w:t>).</w:t>
      </w:r>
      <w:r w:rsidR="00027B20" w:rsidRPr="009B686A">
        <w:rPr>
          <w:lang w:val="en-US"/>
        </w:rPr>
        <w:t xml:space="preserve"> A Complete breakdown of each participant is in </w:t>
      </w:r>
      <w:r w:rsidR="00027B20" w:rsidRPr="009B686A">
        <w:rPr>
          <w:i/>
          <w:iCs/>
          <w:lang w:val="en-US"/>
        </w:rPr>
        <w:t xml:space="preserve">Table </w:t>
      </w:r>
      <w:r w:rsidR="00F646D8" w:rsidRPr="009B686A">
        <w:rPr>
          <w:i/>
          <w:iCs/>
          <w:lang w:val="en-US"/>
        </w:rPr>
        <w:t>4</w:t>
      </w:r>
      <w:r w:rsidR="00027B20" w:rsidRPr="009B686A">
        <w:rPr>
          <w:lang w:val="en-US"/>
        </w:rPr>
        <w:t>.</w:t>
      </w:r>
      <w:r w:rsidRPr="009B686A">
        <w:rPr>
          <w:lang w:val="en-US"/>
        </w:rPr>
        <w:t xml:space="preserve"> Two group design records reported </w:t>
      </w:r>
      <w:r w:rsidR="0026669C" w:rsidRPr="009B686A">
        <w:rPr>
          <w:lang w:val="en-US"/>
        </w:rPr>
        <w:t xml:space="preserve">teacher technology use before intervention </w:t>
      </w:r>
      <w:r w:rsidRPr="009B686A">
        <w:rPr>
          <w:lang w:val="en-US"/>
        </w:rPr>
        <w:t>(Byrd-Jones, 2011; Schmidt, 2017</w:t>
      </w:r>
      <w:r w:rsidR="00E94B40" w:rsidRPr="009B686A">
        <w:rPr>
          <w:lang w:val="en-US"/>
        </w:rPr>
        <w:t>) but</w:t>
      </w:r>
      <w:r w:rsidRPr="009B686A">
        <w:rPr>
          <w:lang w:val="en-US"/>
        </w:rPr>
        <w:t xml:space="preserve"> were ambiguous to our coded variable. The former reported participants described their technology use in practice as Never (</w:t>
      </w:r>
      <m:oMath>
        <m:r>
          <w:rPr>
            <w:rFonts w:ascii="Cambria Math" w:hAnsi="Cambria Math"/>
          </w:rPr>
          <m:t>2.35%</m:t>
        </m:r>
      </m:oMath>
      <w:r w:rsidRPr="009B686A">
        <w:rPr>
          <w:lang w:val="en-US"/>
        </w:rPr>
        <w:t>), Rarely (</w:t>
      </w:r>
      <m:oMath>
        <m:r>
          <w:rPr>
            <w:rFonts w:ascii="Cambria Math" w:hAnsi="Cambria Math"/>
          </w:rPr>
          <m:t>7.06%</m:t>
        </m:r>
      </m:oMath>
      <w:r w:rsidRPr="009B686A">
        <w:rPr>
          <w:lang w:val="en-US"/>
        </w:rPr>
        <w:t>), Sometimes (</w:t>
      </w:r>
      <m:oMath>
        <m:r>
          <w:rPr>
            <w:rFonts w:ascii="Cambria Math" w:hAnsi="Cambria Math"/>
          </w:rPr>
          <m:t>30%</m:t>
        </m:r>
      </m:oMath>
      <w:r w:rsidRPr="009B686A">
        <w:rPr>
          <w:lang w:val="en-US"/>
        </w:rPr>
        <w:t>), and Often (</w:t>
      </w:r>
      <m:oMath>
        <m:r>
          <w:rPr>
            <w:rFonts w:ascii="Cambria Math" w:hAnsi="Cambria Math"/>
          </w:rPr>
          <m:t>57.65%</m:t>
        </m:r>
      </m:oMath>
      <w:r w:rsidRPr="009B686A">
        <w:rPr>
          <w:lang w:val="en-US"/>
        </w:rPr>
        <w:t xml:space="preserve">). Schmidt reported </w:t>
      </w:r>
      <m:oMath>
        <m:r>
          <w:rPr>
            <w:rFonts w:ascii="Cambria Math" w:hAnsi="Cambria Math"/>
          </w:rPr>
          <m:t>55%</m:t>
        </m:r>
      </m:oMath>
      <w:r w:rsidRPr="009B686A">
        <w:rPr>
          <w:lang w:val="en-US"/>
        </w:rPr>
        <w:t xml:space="preserve"> of participants considered themselves at an </w:t>
      </w:r>
      <w:r w:rsidRPr="009B686A">
        <w:rPr>
          <w:lang w:val="en-US"/>
        </w:rPr>
        <w:lastRenderedPageBreak/>
        <w:t xml:space="preserve">intermediate/advanced level, and </w:t>
      </w:r>
      <m:oMath>
        <m:r>
          <w:rPr>
            <w:rFonts w:ascii="Cambria Math" w:hAnsi="Cambria Math"/>
          </w:rPr>
          <m:t>45%</m:t>
        </m:r>
      </m:oMath>
      <w:r w:rsidRPr="009B686A">
        <w:rPr>
          <w:lang w:val="en-US"/>
        </w:rPr>
        <w:t xml:space="preserve"> were self-described at a novice level. Study authors did not define these categories.</w:t>
      </w:r>
    </w:p>
    <w:p w14:paraId="75D5E77A" w14:textId="77777777" w:rsidR="00403D84" w:rsidRDefault="00403D84" w:rsidP="00E0546B">
      <w:pPr>
        <w:pStyle w:val="Heading3"/>
        <w:spacing w:line="480" w:lineRule="auto"/>
      </w:pPr>
      <w:r w:rsidRPr="00D15BA7">
        <w:t>Setting</w:t>
      </w:r>
    </w:p>
    <w:p w14:paraId="2A1E3912" w14:textId="5FC6A5B0" w:rsidR="00403D84" w:rsidRDefault="00FE4F7C" w:rsidP="00E0546B">
      <w:pPr>
        <w:spacing w:line="480" w:lineRule="auto"/>
        <w:ind w:firstLine="720"/>
      </w:pPr>
      <w:r w:rsidRPr="33513164">
        <w:rPr>
          <w:rStyle w:val="Heading4Char"/>
          <w:lang w:val="en-US"/>
        </w:rPr>
        <w:t xml:space="preserve">School </w:t>
      </w:r>
      <w:r w:rsidR="00094AFE" w:rsidRPr="33513164">
        <w:rPr>
          <w:rStyle w:val="Heading4Char"/>
          <w:lang w:val="en-US"/>
        </w:rPr>
        <w:t>Locale and</w:t>
      </w:r>
      <w:r w:rsidR="00C13188" w:rsidRPr="33513164">
        <w:rPr>
          <w:rStyle w:val="Heading4Char"/>
          <w:lang w:val="en-US"/>
        </w:rPr>
        <w:t xml:space="preserve"> </w:t>
      </w:r>
      <w:r w:rsidR="003A2023" w:rsidRPr="33513164">
        <w:rPr>
          <w:rStyle w:val="Heading4Char"/>
          <w:lang w:val="en-US"/>
        </w:rPr>
        <w:t>Context</w:t>
      </w:r>
      <w:r w:rsidRPr="33513164">
        <w:rPr>
          <w:lang w:val="en-US"/>
        </w:rPr>
        <w:t>.</w:t>
      </w:r>
      <w:r w:rsidR="001351FF" w:rsidRPr="33513164">
        <w:rPr>
          <w:lang w:val="en-US"/>
        </w:rPr>
        <w:t xml:space="preserve"> </w:t>
      </w:r>
      <w:r w:rsidR="00403D84" w:rsidRPr="33513164">
        <w:rPr>
          <w:lang w:val="en-US"/>
        </w:rPr>
        <w:t xml:space="preserve">The </w:t>
      </w:r>
      <w:r w:rsidR="00490278" w:rsidRPr="33513164">
        <w:rPr>
          <w:lang w:val="en-US"/>
        </w:rPr>
        <w:t>case study and group design research</w:t>
      </w:r>
      <w:r w:rsidR="008850D8" w:rsidRPr="33513164">
        <w:rPr>
          <w:lang w:val="en-US"/>
        </w:rPr>
        <w:t xml:space="preserve"> </w:t>
      </w:r>
      <w:r w:rsidR="00403D84" w:rsidRPr="33513164">
        <w:rPr>
          <w:lang w:val="en-US"/>
        </w:rPr>
        <w:t xml:space="preserve">in this review </w:t>
      </w:r>
      <w:r w:rsidR="00490278" w:rsidRPr="33513164">
        <w:rPr>
          <w:lang w:val="en-US"/>
        </w:rPr>
        <w:t xml:space="preserve">was </w:t>
      </w:r>
      <w:r w:rsidR="00403D84" w:rsidRPr="33513164">
        <w:rPr>
          <w:lang w:val="en-US"/>
        </w:rPr>
        <w:t xml:space="preserve">set </w:t>
      </w:r>
      <w:r w:rsidR="00490278" w:rsidRPr="33513164">
        <w:rPr>
          <w:lang w:val="en-US"/>
        </w:rPr>
        <w:t xml:space="preserve">primarily </w:t>
      </w:r>
      <w:r w:rsidR="00A35586" w:rsidRPr="33513164">
        <w:rPr>
          <w:lang w:val="en-US"/>
        </w:rPr>
        <w:t xml:space="preserve">in </w:t>
      </w:r>
      <w:r w:rsidR="00490278" w:rsidRPr="33513164">
        <w:rPr>
          <w:lang w:val="en-US"/>
        </w:rPr>
        <w:t>public schools</w:t>
      </w:r>
      <w:r w:rsidR="00403D84" w:rsidRPr="33513164">
        <w:rPr>
          <w:lang w:val="en-US"/>
        </w:rPr>
        <w:t xml:space="preserve">. </w:t>
      </w:r>
      <w:r w:rsidR="003E2A8C" w:rsidRPr="33513164">
        <w:rPr>
          <w:lang w:val="en-US"/>
        </w:rPr>
        <w:t xml:space="preserve">School locale for case studies was 46% urban </w:t>
      </w:r>
      <m:oMath>
        <m:r>
          <w:rPr>
            <w:rFonts w:ascii="Cambria Math" w:hAnsi="Cambria Math"/>
          </w:rPr>
          <m:t>(n=13)</m:t>
        </m:r>
      </m:oMath>
      <w:r w:rsidR="003E2A8C" w:rsidRPr="33513164">
        <w:rPr>
          <w:lang w:val="en-US"/>
        </w:rPr>
        <w:t xml:space="preserve">, 36% suburban </w:t>
      </w:r>
      <m:oMath>
        <m:r>
          <w:rPr>
            <w:rFonts w:ascii="Cambria Math" w:hAnsi="Cambria Math"/>
          </w:rPr>
          <m:t>(n=10)</m:t>
        </m:r>
      </m:oMath>
      <w:r w:rsidR="003E2A8C" w:rsidRPr="33513164">
        <w:rPr>
          <w:lang w:val="en-US"/>
        </w:rPr>
        <w:t xml:space="preserve">, and not reported in the remaining 18% </w:t>
      </w:r>
      <m:oMath>
        <m:r>
          <w:rPr>
            <w:rFonts w:ascii="Cambria Math" w:hAnsi="Cambria Math"/>
          </w:rPr>
          <m:t>(n=5)</m:t>
        </m:r>
      </m:oMath>
      <w:r w:rsidR="003E2A8C" w:rsidRPr="33513164">
        <w:rPr>
          <w:lang w:val="en-US"/>
        </w:rPr>
        <w:t xml:space="preserve">. No case studies were reported in rural schools. </w:t>
      </w:r>
      <w:r w:rsidR="008850D8" w:rsidRPr="33513164">
        <w:rPr>
          <w:lang w:val="en-US"/>
        </w:rPr>
        <w:t xml:space="preserve">A complete breakdown of school types </w:t>
      </w:r>
      <w:r w:rsidR="00490278" w:rsidRPr="33513164">
        <w:rPr>
          <w:lang w:val="en-US"/>
        </w:rPr>
        <w:t xml:space="preserve">and locales </w:t>
      </w:r>
      <w:r w:rsidR="008850D8" w:rsidRPr="33513164">
        <w:rPr>
          <w:lang w:val="en-US"/>
        </w:rPr>
        <w:t xml:space="preserve">for </w:t>
      </w:r>
      <w:r w:rsidR="00D07B34" w:rsidRPr="33513164">
        <w:rPr>
          <w:lang w:val="en-US"/>
        </w:rPr>
        <w:t xml:space="preserve">each </w:t>
      </w:r>
      <w:r w:rsidR="008850D8" w:rsidRPr="33513164">
        <w:rPr>
          <w:lang w:val="en-US"/>
        </w:rPr>
        <w:t>case stud</w:t>
      </w:r>
      <w:r w:rsidR="00D07B34" w:rsidRPr="33513164">
        <w:rPr>
          <w:lang w:val="en-US"/>
        </w:rPr>
        <w:t xml:space="preserve">y participant </w:t>
      </w:r>
      <w:r w:rsidR="003E2A8C" w:rsidRPr="33513164">
        <w:rPr>
          <w:lang w:val="en-US"/>
        </w:rPr>
        <w:t xml:space="preserve">and record </w:t>
      </w:r>
      <w:r w:rsidR="008850D8" w:rsidRPr="33513164">
        <w:rPr>
          <w:lang w:val="en-US"/>
        </w:rPr>
        <w:t xml:space="preserve">can be found in </w:t>
      </w:r>
      <w:r w:rsidR="008850D8" w:rsidRPr="33513164">
        <w:rPr>
          <w:i/>
          <w:iCs/>
          <w:lang w:val="en-US"/>
        </w:rPr>
        <w:t xml:space="preserve">Table </w:t>
      </w:r>
      <w:r w:rsidR="00F646D8" w:rsidRPr="33513164">
        <w:rPr>
          <w:i/>
          <w:iCs/>
          <w:lang w:val="en-US"/>
        </w:rPr>
        <w:t>4</w:t>
      </w:r>
      <w:r w:rsidR="008850D8" w:rsidRPr="33513164">
        <w:rPr>
          <w:lang w:val="en-US"/>
        </w:rPr>
        <w:t xml:space="preserve">. </w:t>
      </w:r>
      <w:r w:rsidR="00403D84" w:rsidRPr="33513164">
        <w:rPr>
          <w:lang w:val="en-US"/>
        </w:rPr>
        <w:t xml:space="preserve">Public school teachers </w:t>
      </w:r>
      <w:r w:rsidR="003B6358" w:rsidRPr="33513164">
        <w:rPr>
          <w:lang w:val="en-US"/>
        </w:rPr>
        <w:t>all</w:t>
      </w:r>
      <w:r w:rsidR="00403D84" w:rsidRPr="33513164">
        <w:rPr>
          <w:lang w:val="en-US"/>
        </w:rPr>
        <w:t xml:space="preserve"> provided Group design data </w:t>
      </w:r>
      <w:r w:rsidR="008850D8" w:rsidRPr="33513164">
        <w:rPr>
          <w:lang w:val="en-US"/>
        </w:rPr>
        <w:t>(Byrd-Jones, 2011; Du, 2022; Schmidt et al., 2017; Weiss et al., 2016).</w:t>
      </w:r>
      <w:r w:rsidR="003E2A8C" w:rsidRPr="33513164">
        <w:rPr>
          <w:lang w:val="en-US"/>
        </w:rPr>
        <w:t xml:space="preserve"> </w:t>
      </w:r>
      <w:r w:rsidR="00403D84" w:rsidRPr="33513164">
        <w:rPr>
          <w:lang w:val="en-US"/>
        </w:rPr>
        <w:t>In group design records, the school locale was reported as rural in one (Byrd-Jones, 2011), urban in another (Du, 2022</w:t>
      </w:r>
      <w:r w:rsidR="00E94B40" w:rsidRPr="33513164">
        <w:rPr>
          <w:lang w:val="en-US"/>
        </w:rPr>
        <w:t>) and</w:t>
      </w:r>
      <w:r w:rsidR="00403D84" w:rsidRPr="33513164">
        <w:rPr>
          <w:lang w:val="en-US"/>
        </w:rPr>
        <w:t xml:space="preserve"> not reported in the remaining two records (Schmidt et al., 2017; Weiss et al., 2016). </w:t>
      </w:r>
      <w:r w:rsidR="00FC7C21" w:rsidRPr="33513164">
        <w:rPr>
          <w:lang w:val="en-US"/>
        </w:rPr>
        <w:t xml:space="preserve">School socioeconomic status was not reported in </w:t>
      </w:r>
      <m:oMath>
        <m:r>
          <w:rPr>
            <w:rFonts w:ascii="Cambria Math" w:hAnsi="Cambria Math"/>
          </w:rPr>
          <m:t>68%</m:t>
        </m:r>
      </m:oMath>
      <w:r w:rsidR="00FC7C21" w:rsidRPr="33513164">
        <w:rPr>
          <w:lang w:val="en-US"/>
        </w:rPr>
        <w:t xml:space="preserve"> of case studies </w:t>
      </w:r>
      <w:r w:rsidR="006C3418" w:rsidRPr="33513164">
        <w:rPr>
          <w:lang w:val="en-US"/>
        </w:rPr>
        <w:t xml:space="preserve">(Cain, 2018; </w:t>
      </w:r>
      <w:r w:rsidR="006279DD" w:rsidRPr="33513164">
        <w:rPr>
          <w:lang w:val="en-US"/>
        </w:rPr>
        <w:t>Courduff, 2011; Du &amp; Lyublinskaya, 2022;</w:t>
      </w:r>
      <w:r w:rsidR="00964086" w:rsidRPr="33513164">
        <w:rPr>
          <w:lang w:val="en-US"/>
        </w:rPr>
        <w:t xml:space="preserve"> </w:t>
      </w:r>
      <w:bookmarkStart w:id="13" w:name="_Hlk198851398"/>
      <w:r w:rsidR="00E0396B" w:rsidRPr="003E2A61">
        <w:rPr>
          <w:rFonts w:eastAsia="Aptos"/>
          <w:kern w:val="2"/>
          <w:lang w:val="en-US"/>
          <w14:ligatures w14:val="standardContextual"/>
        </w:rPr>
        <w:t>Gersten &amp; Kelly</w:t>
      </w:r>
      <w:bookmarkEnd w:id="13"/>
      <w:r w:rsidR="00964086" w:rsidRPr="33513164">
        <w:rPr>
          <w:lang w:val="en-US"/>
        </w:rPr>
        <w:t>, 1992; So et al., 2021</w:t>
      </w:r>
      <w:r w:rsidR="00E82C5B">
        <w:rPr>
          <w:lang w:val="en-US"/>
        </w:rPr>
        <w:t xml:space="preserve">; total </w:t>
      </w:r>
      <m:oMath>
        <m:r>
          <w:rPr>
            <w:rFonts w:ascii="Cambria Math" w:hAnsi="Cambria Math"/>
            <w:lang w:val="en-US"/>
          </w:rPr>
          <m:t>n=19</m:t>
        </m:r>
      </m:oMath>
      <w:r w:rsidR="00964086" w:rsidRPr="33513164">
        <w:rPr>
          <w:lang w:val="en-US"/>
        </w:rPr>
        <w:t>)</w:t>
      </w:r>
      <w:r w:rsidR="00921FBD" w:rsidRPr="33513164">
        <w:rPr>
          <w:lang w:val="en-US"/>
        </w:rPr>
        <w:t>,</w:t>
      </w:r>
      <w:r w:rsidR="00FC7C21" w:rsidRPr="33513164">
        <w:rPr>
          <w:lang w:val="en-US"/>
        </w:rPr>
        <w:t xml:space="preserve"> was reported as low in </w:t>
      </w:r>
      <m:oMath>
        <m:r>
          <w:rPr>
            <w:rFonts w:ascii="Cambria Math" w:hAnsi="Cambria Math"/>
          </w:rPr>
          <m:t>25%</m:t>
        </m:r>
      </m:oMath>
      <w:r w:rsidR="00FC7C21" w:rsidRPr="33513164">
        <w:rPr>
          <w:lang w:val="en-US"/>
        </w:rPr>
        <w:t xml:space="preserve"> (</w:t>
      </w:r>
      <w:r w:rsidR="00921FBD" w:rsidRPr="33513164">
        <w:rPr>
          <w:lang w:val="en-US"/>
        </w:rPr>
        <w:t xml:space="preserve">Ciampa, 2017; </w:t>
      </w:r>
      <w:r w:rsidR="00E0396B" w:rsidRPr="003E2A61">
        <w:rPr>
          <w:rFonts w:eastAsia="Aptos"/>
          <w:kern w:val="2"/>
          <w:lang w:val="en-US"/>
          <w14:ligatures w14:val="standardContextual"/>
        </w:rPr>
        <w:t>Gersten &amp; Kelly</w:t>
      </w:r>
      <w:r w:rsidR="00CA72DE" w:rsidRPr="33513164">
        <w:rPr>
          <w:lang w:val="en-US"/>
        </w:rPr>
        <w:t>, 1992; Hollins, 2017</w:t>
      </w:r>
      <w:r w:rsidR="00F559BA">
        <w:rPr>
          <w:lang w:val="en-US"/>
        </w:rPr>
        <w:t xml:space="preserve">; total </w:t>
      </w:r>
      <m:oMath>
        <m:r>
          <w:rPr>
            <w:rFonts w:ascii="Cambria Math" w:hAnsi="Cambria Math"/>
          </w:rPr>
          <m:t>n=7</m:t>
        </m:r>
      </m:oMath>
      <w:r w:rsidR="00FC7C21" w:rsidRPr="33513164">
        <w:rPr>
          <w:lang w:val="en-US"/>
        </w:rPr>
        <w:t>)</w:t>
      </w:r>
      <w:r w:rsidR="004033C4" w:rsidRPr="33513164">
        <w:rPr>
          <w:lang w:val="en-US"/>
        </w:rPr>
        <w:t>,</w:t>
      </w:r>
      <w:r w:rsidR="00FC7C21" w:rsidRPr="33513164">
        <w:rPr>
          <w:lang w:val="en-US"/>
        </w:rPr>
        <w:t xml:space="preserve"> and medium in </w:t>
      </w:r>
      <m:oMath>
        <m:r>
          <w:rPr>
            <w:rFonts w:ascii="Cambria Math" w:hAnsi="Cambria Math"/>
          </w:rPr>
          <m:t>7%</m:t>
        </m:r>
      </m:oMath>
      <w:r w:rsidR="00FC7C21" w:rsidRPr="33513164">
        <w:rPr>
          <w:lang w:val="en-US"/>
        </w:rPr>
        <w:t xml:space="preserve"> (</w:t>
      </w:r>
      <w:r w:rsidR="00E0396B" w:rsidRPr="003E2A61">
        <w:rPr>
          <w:rFonts w:eastAsia="Aptos"/>
          <w:kern w:val="2"/>
          <w:lang w:val="en-US"/>
          <w14:ligatures w14:val="standardContextual"/>
        </w:rPr>
        <w:t>Gersten &amp; Kelly</w:t>
      </w:r>
      <w:r w:rsidR="00CA72DE" w:rsidRPr="33513164">
        <w:rPr>
          <w:lang w:val="en-US"/>
        </w:rPr>
        <w:t>, 1992</w:t>
      </w:r>
      <w:r w:rsidR="00F559BA">
        <w:rPr>
          <w:lang w:val="en-US"/>
        </w:rPr>
        <w:t xml:space="preserve">; </w:t>
      </w:r>
      <m:oMath>
        <m:r>
          <w:rPr>
            <w:rFonts w:ascii="Cambria Math" w:hAnsi="Cambria Math"/>
          </w:rPr>
          <m:t>n=2</m:t>
        </m:r>
      </m:oMath>
      <w:r w:rsidR="00FC7C21" w:rsidRPr="33513164">
        <w:rPr>
          <w:lang w:val="en-US"/>
        </w:rPr>
        <w:t xml:space="preserve">). </w:t>
      </w:r>
      <w:r w:rsidR="00403D84" w:rsidRPr="33513164">
        <w:rPr>
          <w:lang w:val="en-US"/>
        </w:rPr>
        <w:t xml:space="preserve">School socioeconomic status was not reported in </w:t>
      </w:r>
      <w:r w:rsidR="00FC7C21" w:rsidRPr="33513164">
        <w:rPr>
          <w:lang w:val="en-US"/>
        </w:rPr>
        <w:t xml:space="preserve">any </w:t>
      </w:r>
      <w:r w:rsidR="00403D84" w:rsidRPr="33513164">
        <w:rPr>
          <w:lang w:val="en-US"/>
        </w:rPr>
        <w:t xml:space="preserve">group design records. </w:t>
      </w:r>
    </w:p>
    <w:p w14:paraId="648023DB" w14:textId="43BC0BCD" w:rsidR="00403D84" w:rsidRPr="00A453DA" w:rsidRDefault="00E41C76" w:rsidP="00E0546B">
      <w:pPr>
        <w:spacing w:line="480" w:lineRule="auto"/>
        <w:ind w:firstLine="720"/>
      </w:pPr>
      <w:r w:rsidRPr="33513164">
        <w:rPr>
          <w:rStyle w:val="Heading4Char"/>
          <w:lang w:val="en-US"/>
        </w:rPr>
        <w:t>Student Educational Placement.</w:t>
      </w:r>
      <w:r w:rsidR="0035723B" w:rsidRPr="33513164">
        <w:rPr>
          <w:rStyle w:val="Heading4Char"/>
          <w:lang w:val="en-US"/>
        </w:rPr>
        <w:t xml:space="preserve"> </w:t>
      </w:r>
      <w:r w:rsidR="00403D84" w:rsidRPr="33513164">
        <w:rPr>
          <w:lang w:val="en-US"/>
        </w:rPr>
        <w:t xml:space="preserve">The type of educational setting in which the participant teachers worked was reported in all case studies. Most work was not done in inclusive settings, with only </w:t>
      </w:r>
      <m:oMath>
        <m:r>
          <w:rPr>
            <w:rFonts w:ascii="Cambria Math" w:hAnsi="Cambria Math"/>
          </w:rPr>
          <m:t>11%</m:t>
        </m:r>
      </m:oMath>
      <w:r w:rsidR="00403D84" w:rsidRPr="33513164">
        <w:rPr>
          <w:lang w:val="en-US"/>
        </w:rPr>
        <w:t xml:space="preserve"> of case studies (</w:t>
      </w:r>
      <w:r w:rsidR="004B6BD4" w:rsidRPr="33513164">
        <w:rPr>
          <w:lang w:val="en-US"/>
        </w:rPr>
        <w:t>Cain, 2018</w:t>
      </w:r>
      <w:r w:rsidR="00473FED">
        <w:rPr>
          <w:lang w:val="en-US"/>
        </w:rPr>
        <w:t xml:space="preserve">; </w:t>
      </w:r>
      <m:oMath>
        <m:r>
          <w:rPr>
            <w:rFonts w:ascii="Cambria Math" w:hAnsi="Cambria Math"/>
          </w:rPr>
          <m:t>n=3</m:t>
        </m:r>
      </m:oMath>
      <w:r w:rsidR="00403D84" w:rsidRPr="33513164">
        <w:rPr>
          <w:lang w:val="en-US"/>
        </w:rPr>
        <w:t xml:space="preserve">) taking place in classrooms with non-disabled peers. Of the remaining case study placements, </w:t>
      </w:r>
      <m:oMath>
        <m:r>
          <w:rPr>
            <w:rFonts w:ascii="Cambria Math" w:hAnsi="Cambria Math"/>
          </w:rPr>
          <m:t>61%</m:t>
        </m:r>
      </m:oMath>
      <w:r w:rsidR="00403D84" w:rsidRPr="33513164">
        <w:rPr>
          <w:lang w:val="en-US"/>
        </w:rPr>
        <w:t xml:space="preserve"> took place in resource rooms (</w:t>
      </w:r>
      <w:r w:rsidR="004B6BD4" w:rsidRPr="33513164">
        <w:rPr>
          <w:lang w:val="en-US"/>
        </w:rPr>
        <w:t xml:space="preserve">Ciampa, 20117; Courduff, 2011; </w:t>
      </w:r>
      <w:r w:rsidR="00E0396B" w:rsidRPr="003E2A61">
        <w:rPr>
          <w:rFonts w:eastAsia="Aptos"/>
          <w:kern w:val="2"/>
          <w:lang w:val="en-US"/>
          <w14:ligatures w14:val="standardContextual"/>
        </w:rPr>
        <w:t>Gersten &amp; Kelly</w:t>
      </w:r>
      <w:r w:rsidR="004B6BD4" w:rsidRPr="33513164">
        <w:rPr>
          <w:lang w:val="en-US"/>
        </w:rPr>
        <w:t>, 1992</w:t>
      </w:r>
      <w:r w:rsidR="00473FED">
        <w:rPr>
          <w:lang w:val="en-US"/>
        </w:rPr>
        <w:t xml:space="preserve">; total </w:t>
      </w:r>
      <m:oMath>
        <m:r>
          <w:rPr>
            <w:rFonts w:ascii="Cambria Math" w:hAnsi="Cambria Math"/>
          </w:rPr>
          <m:t>n=17</m:t>
        </m:r>
      </m:oMath>
      <w:r w:rsidR="00A42FFE" w:rsidRPr="33513164">
        <w:rPr>
          <w:lang w:val="en-US"/>
        </w:rPr>
        <w:t>)</w:t>
      </w:r>
      <w:r w:rsidR="00403D84" w:rsidRPr="33513164">
        <w:rPr>
          <w:lang w:val="en-US"/>
        </w:rPr>
        <w:t xml:space="preserve">, and </w:t>
      </w:r>
      <m:oMath>
        <m:r>
          <w:rPr>
            <w:rFonts w:ascii="Cambria Math" w:hAnsi="Cambria Math"/>
          </w:rPr>
          <m:t>14%</m:t>
        </m:r>
      </m:oMath>
      <w:r w:rsidR="00403D84" w:rsidRPr="33513164">
        <w:rPr>
          <w:lang w:val="en-US"/>
        </w:rPr>
        <w:t xml:space="preserve"> each were set in self-contained classrooms (</w:t>
      </w:r>
      <w:r w:rsidR="004B6BD4" w:rsidRPr="33513164">
        <w:rPr>
          <w:lang w:val="en-US"/>
        </w:rPr>
        <w:t>Du &amp; Lyublinskaya, 2022; Hollins, 2017</w:t>
      </w:r>
      <w:r w:rsidR="00473FED">
        <w:rPr>
          <w:lang w:val="en-US"/>
        </w:rPr>
        <w:t xml:space="preserve">; total </w:t>
      </w:r>
      <m:oMath>
        <m:r>
          <w:rPr>
            <w:rFonts w:ascii="Cambria Math" w:hAnsi="Cambria Math"/>
          </w:rPr>
          <m:t>n=4</m:t>
        </m:r>
      </m:oMath>
      <w:r w:rsidR="00403D84" w:rsidRPr="33513164">
        <w:rPr>
          <w:lang w:val="en-US"/>
        </w:rPr>
        <w:t>) and specialized schools (</w:t>
      </w:r>
      <w:r w:rsidR="004B6BD4" w:rsidRPr="33513164">
        <w:rPr>
          <w:lang w:val="en-US"/>
        </w:rPr>
        <w:t>So et al., 2021</w:t>
      </w:r>
      <w:r w:rsidR="00473FED">
        <w:rPr>
          <w:lang w:val="en-US"/>
        </w:rPr>
        <w:t xml:space="preserve">; </w:t>
      </w:r>
      <m:oMath>
        <m:r>
          <w:rPr>
            <w:rFonts w:ascii="Cambria Math" w:hAnsi="Cambria Math"/>
          </w:rPr>
          <m:t>n=4</m:t>
        </m:r>
      </m:oMath>
      <w:r w:rsidR="00403D84" w:rsidRPr="33513164">
        <w:rPr>
          <w:lang w:val="en-US"/>
        </w:rPr>
        <w:t xml:space="preserve">). </w:t>
      </w:r>
      <w:r w:rsidR="00F6126F" w:rsidRPr="33513164">
        <w:rPr>
          <w:lang w:val="en-US"/>
        </w:rPr>
        <w:t xml:space="preserve">A breakdown of the student’s educational placement </w:t>
      </w:r>
      <w:r w:rsidR="00F6126F" w:rsidRPr="33513164">
        <w:rPr>
          <w:lang w:val="en-US"/>
        </w:rPr>
        <w:lastRenderedPageBreak/>
        <w:t xml:space="preserve">for each teacher participant can be found in </w:t>
      </w:r>
      <w:r w:rsidR="00F6126F" w:rsidRPr="33513164">
        <w:rPr>
          <w:i/>
          <w:iCs/>
          <w:lang w:val="en-US"/>
        </w:rPr>
        <w:t xml:space="preserve">Table </w:t>
      </w:r>
      <w:r w:rsidR="00F646D8" w:rsidRPr="33513164">
        <w:rPr>
          <w:i/>
          <w:iCs/>
          <w:lang w:val="en-US"/>
        </w:rPr>
        <w:t>4</w:t>
      </w:r>
      <w:r w:rsidR="00F6126F" w:rsidRPr="33513164">
        <w:rPr>
          <w:lang w:val="en-US"/>
        </w:rPr>
        <w:t xml:space="preserve">. </w:t>
      </w:r>
      <w:r w:rsidR="00403D84" w:rsidRPr="33513164">
        <w:rPr>
          <w:lang w:val="en-US"/>
        </w:rPr>
        <w:t xml:space="preserve">In group design records, inclusive placements were also in the minority. Byrd-Jones’s (2011) study was the only one </w:t>
      </w:r>
      <w:r w:rsidR="007A23E3" w:rsidRPr="33513164">
        <w:rPr>
          <w:lang w:val="en-US"/>
        </w:rPr>
        <w:t>with</w:t>
      </w:r>
      <w:r w:rsidR="00403D84" w:rsidRPr="33513164">
        <w:rPr>
          <w:lang w:val="en-US"/>
        </w:rPr>
        <w:t xml:space="preserve"> various placements. Self-contained classrooms were reported </w:t>
      </w:r>
      <m:oMath>
        <m:r>
          <w:rPr>
            <w:rFonts w:ascii="Cambria Math" w:hAnsi="Cambria Math"/>
          </w:rPr>
          <m:t>46.3%</m:t>
        </m:r>
      </m:oMath>
      <w:r w:rsidR="00403D84" w:rsidRPr="33513164">
        <w:rPr>
          <w:lang w:val="en-US"/>
        </w:rPr>
        <w:t xml:space="preserve"> of the time, resource room</w:t>
      </w:r>
      <w:r w:rsidR="007A23E3" w:rsidRPr="33513164">
        <w:rPr>
          <w:lang w:val="en-US"/>
        </w:rPr>
        <w:t>s</w:t>
      </w:r>
      <w:r w:rsidR="00403D84" w:rsidRPr="33513164">
        <w:rPr>
          <w:lang w:val="en-US"/>
        </w:rPr>
        <w:t xml:space="preserve"> </w:t>
      </w:r>
      <m:oMath>
        <m:r>
          <w:rPr>
            <w:rFonts w:ascii="Cambria Math" w:hAnsi="Cambria Math"/>
          </w:rPr>
          <m:t>39.9%</m:t>
        </m:r>
      </m:oMath>
      <w:r w:rsidR="00403D84" w:rsidRPr="33513164">
        <w:rPr>
          <w:lang w:val="en-US"/>
        </w:rPr>
        <w:t xml:space="preserve">, and inclusive environments in </w:t>
      </w:r>
      <m:oMath>
        <m:r>
          <w:rPr>
            <w:rFonts w:ascii="Cambria Math" w:hAnsi="Cambria Math"/>
          </w:rPr>
          <m:t>13.8%</m:t>
        </m:r>
      </m:oMath>
      <w:r w:rsidR="00403D84" w:rsidRPr="33513164">
        <w:rPr>
          <w:lang w:val="en-US"/>
        </w:rPr>
        <w:t>. Two records were exclusively about teachers in self-contained environments (Du, 2022; Weiss et al., 2016). The remaining study did not report placement data (Schmidt et al., 2017).</w:t>
      </w:r>
    </w:p>
    <w:p w14:paraId="22EC6ADE" w14:textId="619817B2" w:rsidR="00403D84" w:rsidRDefault="00403D84" w:rsidP="00E0546B">
      <w:pPr>
        <w:spacing w:line="480" w:lineRule="auto"/>
        <w:ind w:firstLine="720"/>
      </w:pPr>
      <w:r w:rsidRPr="33513164">
        <w:rPr>
          <w:rStyle w:val="Heading4Char"/>
          <w:lang w:val="en-US"/>
        </w:rPr>
        <w:t xml:space="preserve">School </w:t>
      </w:r>
      <w:r w:rsidR="00A66412" w:rsidRPr="33513164">
        <w:rPr>
          <w:rStyle w:val="Heading4Char"/>
          <w:lang w:val="en-US"/>
        </w:rPr>
        <w:t>G</w:t>
      </w:r>
      <w:r w:rsidRPr="33513164">
        <w:rPr>
          <w:rStyle w:val="Heading4Char"/>
          <w:lang w:val="en-US"/>
        </w:rPr>
        <w:t xml:space="preserve">rade </w:t>
      </w:r>
      <w:r w:rsidR="00A66412" w:rsidRPr="33513164">
        <w:rPr>
          <w:rStyle w:val="Heading4Char"/>
          <w:lang w:val="en-US"/>
        </w:rPr>
        <w:t>L</w:t>
      </w:r>
      <w:r w:rsidRPr="33513164">
        <w:rPr>
          <w:rStyle w:val="Heading4Char"/>
          <w:lang w:val="en-US"/>
        </w:rPr>
        <w:t>evels</w:t>
      </w:r>
      <w:r w:rsidR="00F86C8A" w:rsidRPr="33513164">
        <w:rPr>
          <w:rStyle w:val="Heading4Char"/>
          <w:lang w:val="en-US"/>
        </w:rPr>
        <w:t>.</w:t>
      </w:r>
      <w:r w:rsidRPr="33513164">
        <w:rPr>
          <w:lang w:val="en-US"/>
        </w:rPr>
        <w:t xml:space="preserve"> </w:t>
      </w:r>
      <w:r w:rsidR="00F86C8A" w:rsidRPr="33513164">
        <w:rPr>
          <w:lang w:val="en-US"/>
        </w:rPr>
        <w:t xml:space="preserve">The grade level of the school setting </w:t>
      </w:r>
      <w:r w:rsidR="007A23E3" w:rsidRPr="33513164">
        <w:rPr>
          <w:lang w:val="en-US"/>
        </w:rPr>
        <w:t xml:space="preserve">where </w:t>
      </w:r>
      <w:r w:rsidR="00F86C8A" w:rsidRPr="33513164">
        <w:rPr>
          <w:lang w:val="en-US"/>
        </w:rPr>
        <w:t>the teacher participant</w:t>
      </w:r>
      <w:r w:rsidR="00DB249D" w:rsidRPr="33513164">
        <w:rPr>
          <w:lang w:val="en-US"/>
        </w:rPr>
        <w:t>s</w:t>
      </w:r>
      <w:r w:rsidR="00F86C8A" w:rsidRPr="33513164">
        <w:rPr>
          <w:lang w:val="en-US"/>
        </w:rPr>
        <w:t xml:space="preserve"> worked </w:t>
      </w:r>
      <w:r w:rsidR="007A23E3" w:rsidRPr="33513164">
        <w:rPr>
          <w:lang w:val="en-US"/>
        </w:rPr>
        <w:t>was</w:t>
      </w:r>
      <w:r w:rsidRPr="33513164">
        <w:rPr>
          <w:lang w:val="en-US"/>
        </w:rPr>
        <w:t xml:space="preserve"> not reported in </w:t>
      </w:r>
      <m:oMath>
        <m:r>
          <w:rPr>
            <w:rFonts w:ascii="Cambria Math" w:hAnsi="Cambria Math"/>
          </w:rPr>
          <m:t>14%</m:t>
        </m:r>
      </m:oMath>
      <w:r w:rsidRPr="33513164">
        <w:rPr>
          <w:lang w:val="en-US"/>
        </w:rPr>
        <w:t xml:space="preserve"> (</w:t>
      </w:r>
      <w:r w:rsidR="003F532D" w:rsidRPr="33513164">
        <w:rPr>
          <w:lang w:val="en-US"/>
        </w:rPr>
        <w:t>So</w:t>
      </w:r>
      <w:r w:rsidR="005234AD" w:rsidRPr="33513164">
        <w:rPr>
          <w:lang w:val="en-US"/>
        </w:rPr>
        <w:t xml:space="preserve"> et al., 2021</w:t>
      </w:r>
      <w:r w:rsidR="00473FED">
        <w:rPr>
          <w:lang w:val="en-US"/>
        </w:rPr>
        <w:t xml:space="preserve">; </w:t>
      </w:r>
      <m:oMath>
        <m:r>
          <w:rPr>
            <w:rFonts w:ascii="Cambria Math" w:hAnsi="Cambria Math"/>
          </w:rPr>
          <m:t>n=4</m:t>
        </m:r>
      </m:oMath>
      <w:r w:rsidRPr="33513164">
        <w:rPr>
          <w:lang w:val="en-US"/>
        </w:rPr>
        <w:t xml:space="preserve">) of case studies. Of the remaining case studies, </w:t>
      </w:r>
      <m:oMath>
        <m:r>
          <w:rPr>
            <w:rFonts w:ascii="Cambria Math" w:hAnsi="Cambria Math"/>
          </w:rPr>
          <m:t>68%</m:t>
        </m:r>
      </m:oMath>
      <w:r w:rsidRPr="33513164">
        <w:rPr>
          <w:lang w:val="en-US"/>
        </w:rPr>
        <w:t xml:space="preserve"> were set in elementary schools (grades K-5</w:t>
      </w:r>
      <w:r w:rsidR="00C813A9" w:rsidRPr="33513164">
        <w:rPr>
          <w:lang w:val="en-US"/>
        </w:rPr>
        <w:t xml:space="preserve">; </w:t>
      </w:r>
      <w:r w:rsidR="005234AD" w:rsidRPr="33513164">
        <w:rPr>
          <w:lang w:val="en-US"/>
        </w:rPr>
        <w:t xml:space="preserve">Cain, 2018; Ciampa, 2017; </w:t>
      </w:r>
      <w:r w:rsidR="00075867" w:rsidRPr="33513164">
        <w:rPr>
          <w:lang w:val="en-US"/>
        </w:rPr>
        <w:t>Courduff, 2011; Du &amp; Lyublinskaya, 2022; Hollins, 2017</w:t>
      </w:r>
      <w:r w:rsidR="00500FE4">
        <w:rPr>
          <w:lang w:val="en-US"/>
        </w:rPr>
        <w:t xml:space="preserve">; total </w:t>
      </w:r>
      <m:oMath>
        <m:r>
          <w:rPr>
            <w:rFonts w:ascii="Cambria Math" w:hAnsi="Cambria Math"/>
          </w:rPr>
          <m:t>n=19</m:t>
        </m:r>
      </m:oMath>
      <w:r w:rsidRPr="33513164">
        <w:rPr>
          <w:lang w:val="en-US"/>
        </w:rPr>
        <w:t xml:space="preserve">), </w:t>
      </w:r>
      <m:oMath>
        <m:r>
          <w:rPr>
            <w:rFonts w:ascii="Cambria Math" w:hAnsi="Cambria Math"/>
          </w:rPr>
          <m:t>46%</m:t>
        </m:r>
      </m:oMath>
      <w:r w:rsidR="00C813A9" w:rsidRPr="33513164">
        <w:rPr>
          <w:lang w:val="en-US"/>
        </w:rPr>
        <w:t xml:space="preserve"> </w:t>
      </w:r>
      <w:r w:rsidRPr="33513164">
        <w:rPr>
          <w:lang w:val="en-US"/>
        </w:rPr>
        <w:t>in middle schools (grades 6-8</w:t>
      </w:r>
      <w:r w:rsidR="00E1532C">
        <w:rPr>
          <w:lang w:val="en-US"/>
        </w:rPr>
        <w:t xml:space="preserve">; </w:t>
      </w:r>
      <w:r w:rsidR="00E1532C" w:rsidRPr="33513164">
        <w:rPr>
          <w:lang w:val="en-US"/>
        </w:rPr>
        <w:t>Ciampa, 2017; Courduff, 2011</w:t>
      </w:r>
      <w:r w:rsidR="00E1532C">
        <w:rPr>
          <w:lang w:val="en-US"/>
        </w:rPr>
        <w:t xml:space="preserve">; total </w:t>
      </w:r>
      <m:oMath>
        <m:r>
          <w:rPr>
            <w:rFonts w:ascii="Cambria Math" w:hAnsi="Cambria Math"/>
          </w:rPr>
          <m:t>n=13</m:t>
        </m:r>
      </m:oMath>
      <w:r w:rsidR="00E1532C" w:rsidRPr="33513164">
        <w:rPr>
          <w:lang w:val="en-US"/>
        </w:rPr>
        <w:t>)</w:t>
      </w:r>
      <w:r w:rsidRPr="33513164">
        <w:rPr>
          <w:lang w:val="en-US"/>
        </w:rPr>
        <w:t xml:space="preserve">, and </w:t>
      </w:r>
      <m:oMath>
        <m:r>
          <w:rPr>
            <w:rFonts w:ascii="Cambria Math" w:hAnsi="Cambria Math"/>
          </w:rPr>
          <m:t>21%</m:t>
        </m:r>
      </m:oMath>
      <w:r w:rsidRPr="33513164">
        <w:rPr>
          <w:lang w:val="en-US"/>
        </w:rPr>
        <w:t xml:space="preserve"> in high schools</w:t>
      </w:r>
      <w:r w:rsidR="00AA4652">
        <w:rPr>
          <w:lang w:val="en-US"/>
        </w:rPr>
        <w:t xml:space="preserve"> </w:t>
      </w:r>
      <w:r w:rsidR="00AA4652" w:rsidRPr="33513164">
        <w:rPr>
          <w:lang w:val="en-US"/>
        </w:rPr>
        <w:t xml:space="preserve">(Du &amp; Lyublinskaya, 2022; </w:t>
      </w:r>
      <w:r w:rsidR="00E0396B" w:rsidRPr="003E2A61">
        <w:rPr>
          <w:rFonts w:eastAsia="Aptos"/>
          <w:kern w:val="2"/>
          <w:lang w:val="en-US"/>
          <w14:ligatures w14:val="standardContextual"/>
        </w:rPr>
        <w:t>Gersten &amp; Kelly</w:t>
      </w:r>
      <w:r w:rsidR="00AA4652" w:rsidRPr="33513164">
        <w:rPr>
          <w:lang w:val="en-US"/>
        </w:rPr>
        <w:t>, 1992</w:t>
      </w:r>
      <w:r w:rsidR="00AA4652">
        <w:rPr>
          <w:lang w:val="en-US"/>
        </w:rPr>
        <w:t xml:space="preserve">; total </w:t>
      </w:r>
      <m:oMath>
        <m:r>
          <w:rPr>
            <w:rFonts w:ascii="Cambria Math" w:hAnsi="Cambria Math"/>
          </w:rPr>
          <m:t>n=6</m:t>
        </m:r>
      </m:oMath>
      <w:r w:rsidR="00AA4652" w:rsidRPr="33513164">
        <w:rPr>
          <w:lang w:val="en-US"/>
        </w:rPr>
        <w:t>)</w:t>
      </w:r>
      <w:r w:rsidRPr="33513164">
        <w:rPr>
          <w:lang w:val="en-US"/>
        </w:rPr>
        <w:t xml:space="preserve">. </w:t>
      </w:r>
      <w:r w:rsidR="00153851" w:rsidRPr="33513164">
        <w:rPr>
          <w:lang w:val="en-US"/>
        </w:rPr>
        <w:t xml:space="preserve">A breakdown of the school </w:t>
      </w:r>
      <w:r w:rsidR="008565BD" w:rsidRPr="33513164">
        <w:rPr>
          <w:lang w:val="en-US"/>
        </w:rPr>
        <w:t>grade levels</w:t>
      </w:r>
      <w:r w:rsidR="00153851" w:rsidRPr="33513164">
        <w:rPr>
          <w:lang w:val="en-US"/>
        </w:rPr>
        <w:t xml:space="preserve"> for each teacher participant can be found in </w:t>
      </w:r>
      <w:r w:rsidR="00153851" w:rsidRPr="33513164">
        <w:rPr>
          <w:i/>
          <w:iCs/>
          <w:lang w:val="en-US"/>
        </w:rPr>
        <w:t xml:space="preserve">Table </w:t>
      </w:r>
      <w:r w:rsidR="00F646D8" w:rsidRPr="33513164">
        <w:rPr>
          <w:i/>
          <w:iCs/>
          <w:lang w:val="en-US"/>
        </w:rPr>
        <w:t>4</w:t>
      </w:r>
      <w:r w:rsidR="00153851" w:rsidRPr="33513164">
        <w:rPr>
          <w:lang w:val="en-US"/>
        </w:rPr>
        <w:t xml:space="preserve">. </w:t>
      </w:r>
      <w:r w:rsidRPr="33513164">
        <w:rPr>
          <w:lang w:val="en-US"/>
        </w:rPr>
        <w:t xml:space="preserve">Most group designs did not report on the grade levels served at the school level (Byrd-Jones, 2011; Du, 2022; Schmidt et al., 2017). Only Weiss described this variable, with </w:t>
      </w:r>
      <m:oMath>
        <m:r>
          <w:rPr>
            <w:rFonts w:ascii="Cambria Math" w:hAnsi="Cambria Math"/>
          </w:rPr>
          <m:t>41%</m:t>
        </m:r>
      </m:oMath>
      <w:r w:rsidRPr="33513164">
        <w:rPr>
          <w:lang w:val="en-US"/>
        </w:rPr>
        <w:t xml:space="preserve"> of participants teaching at elementary schools, </w:t>
      </w:r>
      <m:oMath>
        <m:r>
          <w:rPr>
            <w:rFonts w:ascii="Cambria Math" w:hAnsi="Cambria Math"/>
          </w:rPr>
          <m:t>16%</m:t>
        </m:r>
      </m:oMath>
      <w:r w:rsidRPr="33513164">
        <w:rPr>
          <w:lang w:val="en-US"/>
        </w:rPr>
        <w:t xml:space="preserve"> at middle schools, </w:t>
      </w:r>
      <m:oMath>
        <m:r>
          <w:rPr>
            <w:rFonts w:ascii="Cambria Math" w:hAnsi="Cambria Math"/>
          </w:rPr>
          <m:t>32%</m:t>
        </m:r>
      </m:oMath>
      <w:r w:rsidRPr="33513164">
        <w:rPr>
          <w:lang w:val="en-US"/>
        </w:rPr>
        <w:t xml:space="preserve"> at high schools, and </w:t>
      </w:r>
      <m:oMath>
        <m:r>
          <w:rPr>
            <w:rFonts w:ascii="Cambria Math" w:hAnsi="Cambria Math"/>
          </w:rPr>
          <m:t>11%</m:t>
        </m:r>
      </m:oMath>
      <w:r w:rsidRPr="33513164">
        <w:rPr>
          <w:lang w:val="en-US"/>
        </w:rPr>
        <w:t xml:space="preserve"> at mixed middle and high secondary schools. Specific technology resources available to teachers in their practice were not reported in </w:t>
      </w:r>
      <m:oMath>
        <m:r>
          <w:rPr>
            <w:rFonts w:ascii="Cambria Math" w:hAnsi="Cambria Math"/>
          </w:rPr>
          <m:t>64%</m:t>
        </m:r>
      </m:oMath>
      <w:r w:rsidRPr="33513164">
        <w:rPr>
          <w:lang w:val="en-US"/>
        </w:rPr>
        <w:t xml:space="preserve"> (</w:t>
      </w:r>
      <w:r w:rsidR="006B3DF3" w:rsidRPr="33513164">
        <w:rPr>
          <w:lang w:val="en-US"/>
        </w:rPr>
        <w:t xml:space="preserve">Cain, 2018; Ciampa, 2017; Du &amp; Lyublinskaya, 2022; </w:t>
      </w:r>
      <w:r w:rsidR="00E0396B" w:rsidRPr="003E2A61">
        <w:rPr>
          <w:rFonts w:eastAsia="Aptos"/>
          <w:kern w:val="2"/>
          <w:lang w:val="en-US"/>
          <w14:ligatures w14:val="standardContextual"/>
        </w:rPr>
        <w:t>Gersten &amp; Kelly</w:t>
      </w:r>
      <w:r w:rsidR="006B3DF3" w:rsidRPr="33513164">
        <w:rPr>
          <w:lang w:val="en-US"/>
        </w:rPr>
        <w:t>, 1992; Hollins, 2017; So et al., 2021</w:t>
      </w:r>
      <w:r w:rsidR="007602AA">
        <w:rPr>
          <w:lang w:val="en-US"/>
        </w:rPr>
        <w:t xml:space="preserve">; total </w:t>
      </w:r>
      <m:oMath>
        <m:r>
          <w:rPr>
            <w:rFonts w:ascii="Cambria Math" w:hAnsi="Cambria Math"/>
          </w:rPr>
          <m:t>n=18</m:t>
        </m:r>
      </m:oMath>
      <w:r w:rsidRPr="33513164">
        <w:rPr>
          <w:lang w:val="en-US"/>
        </w:rPr>
        <w:t>) of cas</w:t>
      </w:r>
      <w:r w:rsidR="007A23E3" w:rsidRPr="33513164">
        <w:rPr>
          <w:lang w:val="en-US"/>
        </w:rPr>
        <w:t>e</w:t>
      </w:r>
      <w:r w:rsidRPr="33513164">
        <w:rPr>
          <w:lang w:val="en-US"/>
        </w:rPr>
        <w:t xml:space="preserve"> studies. The remaining </w:t>
      </w:r>
      <m:oMath>
        <m:r>
          <w:rPr>
            <w:rFonts w:ascii="Cambria Math" w:hAnsi="Cambria Math"/>
          </w:rPr>
          <m:t>36%</m:t>
        </m:r>
      </m:oMath>
      <w:r w:rsidRPr="33513164">
        <w:rPr>
          <w:lang w:val="en-US"/>
        </w:rPr>
        <w:t xml:space="preserve"> (</w:t>
      </w:r>
      <w:r w:rsidR="00623FBE" w:rsidRPr="33513164">
        <w:rPr>
          <w:lang w:val="en-US"/>
        </w:rPr>
        <w:t>Courduff, 2011</w:t>
      </w:r>
      <w:r w:rsidR="005D3A8D">
        <w:rPr>
          <w:lang w:val="en-US"/>
        </w:rPr>
        <w:t xml:space="preserve">; </w:t>
      </w:r>
      <m:oMath>
        <m:r>
          <w:rPr>
            <w:rFonts w:ascii="Cambria Math" w:hAnsi="Cambria Math"/>
          </w:rPr>
          <m:t>n=10</m:t>
        </m:r>
      </m:oMath>
      <w:r w:rsidRPr="33513164">
        <w:rPr>
          <w:lang w:val="en-US"/>
        </w:rPr>
        <w:t>) were all described as shared devices, namely</w:t>
      </w:r>
      <w:r w:rsidR="007A23E3" w:rsidRPr="33513164">
        <w:rPr>
          <w:lang w:val="en-US"/>
        </w:rPr>
        <w:t>,</w:t>
      </w:r>
      <w:r w:rsidRPr="33513164">
        <w:rPr>
          <w:lang w:val="en-US"/>
        </w:rPr>
        <w:t xml:space="preserve"> desktop computers in the classroom. Of group designs, only Byrd-Jones (2011) reported on technology resources available to special educators in their practice. They reported an average of three shared computers in the classroom and another seven shared devices that could be brought into the classroom if needed.</w:t>
      </w:r>
    </w:p>
    <w:p w14:paraId="62CC861C" w14:textId="77777777" w:rsidR="00403D84" w:rsidRDefault="00403D84" w:rsidP="00E0546B">
      <w:pPr>
        <w:pStyle w:val="Heading3"/>
        <w:spacing w:line="480" w:lineRule="auto"/>
      </w:pPr>
      <w:r w:rsidRPr="00D15BA7">
        <w:lastRenderedPageBreak/>
        <w:t>Intervention Agents</w:t>
      </w:r>
    </w:p>
    <w:p w14:paraId="5B41DA9A" w14:textId="09A26925" w:rsidR="00403D84" w:rsidRPr="006B5672" w:rsidRDefault="00403D84" w:rsidP="00E0546B">
      <w:pPr>
        <w:spacing w:line="480" w:lineRule="auto"/>
        <w:ind w:firstLine="720"/>
      </w:pPr>
      <w:r w:rsidRPr="33513164">
        <w:rPr>
          <w:lang w:val="en-US"/>
        </w:rPr>
        <w:t xml:space="preserve">The intervention agents responsible for delivering the </w:t>
      </w:r>
      <w:r w:rsidR="00D51C4D">
        <w:rPr>
          <w:lang w:val="en-US"/>
        </w:rPr>
        <w:t>PD</w:t>
      </w:r>
      <w:r w:rsidRPr="33513164">
        <w:rPr>
          <w:lang w:val="en-US"/>
        </w:rPr>
        <w:t xml:space="preserve"> and training in the records of this review </w:t>
      </w:r>
      <w:r w:rsidR="00A42FFE" w:rsidRPr="33513164">
        <w:rPr>
          <w:lang w:val="en-US"/>
        </w:rPr>
        <w:t>were</w:t>
      </w:r>
      <w:r w:rsidRPr="33513164">
        <w:rPr>
          <w:lang w:val="en-US"/>
        </w:rPr>
        <w:t xml:space="preserve"> </w:t>
      </w:r>
      <w:r w:rsidR="00AA43EC">
        <w:rPr>
          <w:lang w:val="en-US"/>
        </w:rPr>
        <w:t xml:space="preserve">primarily </w:t>
      </w:r>
      <w:r w:rsidRPr="33513164">
        <w:rPr>
          <w:lang w:val="en-US"/>
        </w:rPr>
        <w:t>researchers</w:t>
      </w:r>
      <w:r w:rsidR="00A42FFE" w:rsidRPr="33513164">
        <w:rPr>
          <w:lang w:val="en-US"/>
        </w:rPr>
        <w:t xml:space="preserve"> (</w:t>
      </w:r>
      <w:r w:rsidR="00455326" w:rsidRPr="33513164">
        <w:rPr>
          <w:lang w:val="en-US"/>
        </w:rPr>
        <w:t xml:space="preserve">Cain, 2018; Ciampa, 2017; Courduff, 2011; Du &amp; Lyublinskaya, 2022; </w:t>
      </w:r>
      <w:r w:rsidR="00E0396B" w:rsidRPr="003E2A61">
        <w:rPr>
          <w:rFonts w:eastAsia="Aptos"/>
          <w:kern w:val="2"/>
          <w:lang w:val="en-US"/>
          <w14:ligatures w14:val="standardContextual"/>
        </w:rPr>
        <w:t>Gersten &amp; Kelly</w:t>
      </w:r>
      <w:r w:rsidR="00455326" w:rsidRPr="33513164">
        <w:rPr>
          <w:lang w:val="en-US"/>
        </w:rPr>
        <w:t>, 1992; Hollins, 2017</w:t>
      </w:r>
      <w:r w:rsidR="005D3A8D">
        <w:rPr>
          <w:lang w:val="en-US"/>
        </w:rPr>
        <w:t xml:space="preserve">; total </w:t>
      </w:r>
      <m:oMath>
        <m:r>
          <w:rPr>
            <w:rFonts w:ascii="Cambria Math" w:hAnsi="Cambria Math"/>
          </w:rPr>
          <m:t>n=24</m:t>
        </m:r>
        <m:r>
          <w:rPr>
            <w:rFonts w:ascii="Cambria Math" w:hAnsi="Cambria Math"/>
          </w:rPr>
          <m:t>;</m:t>
        </m:r>
        <m:r>
          <w:rPr>
            <w:rFonts w:ascii="Cambria Math" w:hAnsi="Cambria Math"/>
          </w:rPr>
          <m:t xml:space="preserve">  </m:t>
        </m:r>
        <m:r>
          <w:rPr>
            <w:rFonts w:ascii="Cambria Math" w:hAnsi="Cambria Math"/>
            <w:lang w:val="en-US"/>
          </w:rPr>
          <m:t>85%</m:t>
        </m:r>
      </m:oMath>
      <w:r w:rsidR="00455326" w:rsidRPr="33513164">
        <w:rPr>
          <w:lang w:val="en-US"/>
        </w:rPr>
        <w:t>)</w:t>
      </w:r>
      <w:r w:rsidRPr="33513164">
        <w:rPr>
          <w:lang w:val="en-US"/>
        </w:rPr>
        <w:t>. One case study did not report on implementor data (So et al., 2021</w:t>
      </w:r>
      <w:r w:rsidR="007D4A51">
        <w:rPr>
          <w:lang w:val="en-US"/>
        </w:rPr>
        <w:t>;</w:t>
      </w:r>
      <w:r w:rsidR="006157B5">
        <w:rPr>
          <w:lang w:val="en-US"/>
        </w:rPr>
        <w:t xml:space="preserve"> 14%</w:t>
      </w:r>
      <w:r w:rsidRPr="33513164">
        <w:rPr>
          <w:lang w:val="en-US"/>
        </w:rPr>
        <w:t>). One researcher described herself as a technology coach with 6-10 years of experience in that role before conducting her case studies (Courduff, 2011</w:t>
      </w:r>
      <w:r w:rsidR="006157B5">
        <w:rPr>
          <w:lang w:val="en-US"/>
        </w:rPr>
        <w:t>, 35%</w:t>
      </w:r>
      <w:r w:rsidRPr="33513164">
        <w:rPr>
          <w:lang w:val="en-US"/>
        </w:rPr>
        <w:t>). Group design studies also considered the researcher the implementor in all records except one (Byrd-Jones, 2011), which did not report who was responsible for implementing the PD. Training and qualification of the researchers were either not reported (Byrd-Jones, 2011; Cain, 2018; Hollins, 2017</w:t>
      </w:r>
      <w:r w:rsidR="007D4A51">
        <w:rPr>
          <w:lang w:val="en-US"/>
        </w:rPr>
        <w:t xml:space="preserve">; </w:t>
      </w:r>
      <w:r w:rsidR="007D4A51" w:rsidRPr="007D4A51">
        <w:rPr>
          <w:i/>
          <w:iCs/>
          <w:lang w:val="en-US"/>
        </w:rPr>
        <w:t>29%</w:t>
      </w:r>
      <w:r w:rsidRPr="33513164">
        <w:rPr>
          <w:lang w:val="en-US"/>
        </w:rPr>
        <w:t>) or were reported simply as being associated with a professional background or career in higher education related to technology implementation and special education in the remaining case studies and group design research (Ciampa, 2017; Du, 2022; Du &amp; Lyublinskaya, 2022; Gersten &amp; Kelly, 1992; Schmidt et al., 2017; Weiss et al., 2016</w:t>
      </w:r>
      <w:r w:rsidR="007D4A51" w:rsidRPr="007D4A51">
        <w:rPr>
          <w:i/>
          <w:iCs/>
          <w:lang w:val="en-US"/>
        </w:rPr>
        <w:t>; 71%</w:t>
      </w:r>
      <w:r w:rsidRPr="33513164">
        <w:rPr>
          <w:lang w:val="en-US"/>
        </w:rPr>
        <w:t xml:space="preserve">). Only Courduff’s case studies mentioned years of relevant experience implementing technology-related PD for special educators. Implementors in case studies delivered PD in person </w:t>
      </w:r>
      <m:oMath>
        <m:r>
          <w:rPr>
            <w:rFonts w:ascii="Cambria Math" w:hAnsi="Cambria Math"/>
          </w:rPr>
          <m:t>50%</m:t>
        </m:r>
      </m:oMath>
      <w:r w:rsidRPr="33513164">
        <w:rPr>
          <w:lang w:val="en-US"/>
        </w:rPr>
        <w:t xml:space="preserve"> of the time </w:t>
      </w:r>
      <m:oMath>
        <m:r>
          <w:rPr>
            <w:rFonts w:ascii="Cambria Math" w:hAnsi="Cambria Math"/>
          </w:rPr>
          <m:t>(n=14)</m:t>
        </m:r>
      </m:oMath>
      <w:r w:rsidRPr="33513164">
        <w:rPr>
          <w:lang w:val="en-US"/>
        </w:rPr>
        <w:t xml:space="preserve"> and through a hybrid in-person/online format </w:t>
      </w:r>
      <m:oMath>
        <m:r>
          <w:rPr>
            <w:rFonts w:ascii="Cambria Math" w:hAnsi="Cambria Math"/>
          </w:rPr>
          <m:t>36%</m:t>
        </m:r>
      </m:oMath>
      <w:r w:rsidRPr="33513164">
        <w:rPr>
          <w:lang w:val="en-US"/>
        </w:rPr>
        <w:t xml:space="preserve"> of the time </w:t>
      </w:r>
      <m:oMath>
        <m:r>
          <w:rPr>
            <w:rFonts w:ascii="Cambria Math" w:hAnsi="Cambria Math"/>
          </w:rPr>
          <m:t>(n=10)</m:t>
        </m:r>
      </m:oMath>
      <w:r w:rsidRPr="33513164">
        <w:rPr>
          <w:lang w:val="en-US"/>
        </w:rPr>
        <w:t xml:space="preserve">. The delivery format was not reported for </w:t>
      </w:r>
      <m:oMath>
        <m:r>
          <w:rPr>
            <w:rFonts w:ascii="Cambria Math" w:hAnsi="Cambria Math"/>
          </w:rPr>
          <m:t>14%</m:t>
        </m:r>
      </m:oMath>
      <w:r w:rsidRPr="33513164">
        <w:rPr>
          <w:lang w:val="en-US"/>
        </w:rPr>
        <w:t xml:space="preserve"> of case studies </w:t>
      </w:r>
      <m:oMath>
        <m:r>
          <w:rPr>
            <w:rFonts w:ascii="Cambria Math" w:hAnsi="Cambria Math"/>
          </w:rPr>
          <m:t>(n=4)</m:t>
        </m:r>
      </m:oMath>
      <w:r w:rsidRPr="33513164">
        <w:rPr>
          <w:lang w:val="en-US"/>
        </w:rPr>
        <w:t>. For group design research, an in-person format was used by two studies (Schmidt et al., 2017; Weiss et al., 2016), a hybrid format by one study (Du, 2022</w:t>
      </w:r>
      <w:r w:rsidR="007A23E3" w:rsidRPr="33513164">
        <w:rPr>
          <w:lang w:val="en-US"/>
        </w:rPr>
        <w:t>) and</w:t>
      </w:r>
      <w:r w:rsidRPr="33513164">
        <w:rPr>
          <w:lang w:val="en-US"/>
        </w:rPr>
        <w:t xml:space="preserve"> not reported for one study (Byrd-Jones, 2011</w:t>
      </w:r>
      <w:r>
        <w:t>).</w:t>
      </w:r>
    </w:p>
    <w:p w14:paraId="086C3E82" w14:textId="0B4100A7" w:rsidR="00403D84" w:rsidRDefault="00403D84" w:rsidP="00E0546B">
      <w:pPr>
        <w:pStyle w:val="Heading3"/>
        <w:spacing w:line="480" w:lineRule="auto"/>
      </w:pPr>
      <w:r w:rsidRPr="00D15BA7">
        <w:t>Intervention</w:t>
      </w:r>
    </w:p>
    <w:p w14:paraId="3BA6BEAB" w14:textId="2EAA3122" w:rsidR="00403D84" w:rsidRDefault="00403D84" w:rsidP="008923D8">
      <w:pPr>
        <w:spacing w:line="480" w:lineRule="auto"/>
        <w:ind w:firstLine="720"/>
      </w:pPr>
      <w:r w:rsidRPr="33513164">
        <w:rPr>
          <w:lang w:val="en-US"/>
        </w:rPr>
        <w:t xml:space="preserve">The delivery formats used in </w:t>
      </w:r>
      <w:r w:rsidR="00CB66A8">
        <w:rPr>
          <w:lang w:val="en-US"/>
        </w:rPr>
        <w:t>PD</w:t>
      </w:r>
      <w:r w:rsidRPr="33513164">
        <w:rPr>
          <w:lang w:val="en-US"/>
        </w:rPr>
        <w:t xml:space="preserve"> for improved implementation of </w:t>
      </w:r>
      <w:r w:rsidR="00E72B65">
        <w:rPr>
          <w:lang w:val="en-US"/>
        </w:rPr>
        <w:t>ET</w:t>
      </w:r>
      <w:r w:rsidRPr="33513164">
        <w:rPr>
          <w:lang w:val="en-US"/>
        </w:rPr>
        <w:t xml:space="preserve"> by special educators are shown for each study design in </w:t>
      </w:r>
      <w:r w:rsidRPr="33513164">
        <w:rPr>
          <w:i/>
          <w:iCs/>
          <w:lang w:val="en-US"/>
        </w:rPr>
        <w:t xml:space="preserve">Table </w:t>
      </w:r>
      <w:r w:rsidR="00F646D8" w:rsidRPr="33513164">
        <w:rPr>
          <w:i/>
          <w:iCs/>
          <w:lang w:val="en-US"/>
        </w:rPr>
        <w:t>5</w:t>
      </w:r>
      <w:r w:rsidRPr="33513164">
        <w:rPr>
          <w:lang w:val="en-US"/>
        </w:rPr>
        <w:t xml:space="preserve">. All case studies mixed multiple </w:t>
      </w:r>
      <w:r w:rsidR="00CB66A8">
        <w:rPr>
          <w:lang w:val="en-US"/>
        </w:rPr>
        <w:t>PD</w:t>
      </w:r>
      <w:r w:rsidRPr="33513164">
        <w:rPr>
          <w:lang w:val="en-US"/>
        </w:rPr>
        <w:t xml:space="preserve"> types in their </w:t>
      </w:r>
      <w:r w:rsidRPr="33513164">
        <w:rPr>
          <w:lang w:val="en-US"/>
        </w:rPr>
        <w:lastRenderedPageBreak/>
        <w:t>intervention efforts. The most utilized PD types among case studies were peer mentoring and community of practice (</w:t>
      </w:r>
      <w:r w:rsidR="00473E28" w:rsidRPr="33513164">
        <w:rPr>
          <w:lang w:val="en-US"/>
        </w:rPr>
        <w:t>Cain,</w:t>
      </w:r>
      <w:r w:rsidR="00B505E5" w:rsidRPr="33513164">
        <w:rPr>
          <w:lang w:val="en-US"/>
        </w:rPr>
        <w:t xml:space="preserve"> 2018; Ciampa, 2017; Courduff, 2011; </w:t>
      </w:r>
      <w:r w:rsidR="00D129E5" w:rsidRPr="33513164">
        <w:rPr>
          <w:lang w:val="en-US"/>
        </w:rPr>
        <w:t>Du &amp; Lyublinskaya, 2022; Hollins, 2017; So</w:t>
      </w:r>
      <w:r w:rsidR="006C06ED" w:rsidRPr="33513164">
        <w:rPr>
          <w:lang w:val="en-US"/>
        </w:rPr>
        <w:t xml:space="preserve"> et al.</w:t>
      </w:r>
      <w:r w:rsidR="00D129E5" w:rsidRPr="33513164">
        <w:rPr>
          <w:lang w:val="en-US"/>
        </w:rPr>
        <w:t xml:space="preserve">, </w:t>
      </w:r>
      <w:r w:rsidR="006C06ED" w:rsidRPr="33513164">
        <w:rPr>
          <w:lang w:val="en-US"/>
        </w:rPr>
        <w:t>2021</w:t>
      </w:r>
      <w:r w:rsidR="0075622D">
        <w:rPr>
          <w:lang w:val="en-US"/>
        </w:rPr>
        <w:t xml:space="preserve">; total </w:t>
      </w:r>
      <m:oMath>
        <m:r>
          <w:rPr>
            <w:rFonts w:ascii="Cambria Math" w:hAnsi="Cambria Math"/>
          </w:rPr>
          <m:t>n=24</m:t>
        </m:r>
      </m:oMath>
      <w:r w:rsidR="007D4A51">
        <w:t xml:space="preserve">, </w:t>
      </w:r>
      <w:r w:rsidR="00C5246F" w:rsidRPr="00C5246F">
        <w:t>86</w:t>
      </w:r>
      <w:r w:rsidR="00C5246F" w:rsidRPr="00C5246F">
        <w:rPr>
          <w:i/>
          <w:iCs/>
        </w:rPr>
        <w:t>%</w:t>
      </w:r>
      <w:r w:rsidRPr="33513164">
        <w:rPr>
          <w:lang w:val="en-US"/>
        </w:rPr>
        <w:t>). Independent practice was used next most frequently (</w:t>
      </w:r>
      <w:r w:rsidR="006B59C2" w:rsidRPr="33513164">
        <w:rPr>
          <w:lang w:val="en-US"/>
        </w:rPr>
        <w:t xml:space="preserve">Cain, 2018; Ciampa, 2017; Courduff, 2011; Du &amp; Lyublinskaya, 2022; </w:t>
      </w:r>
      <w:r w:rsidR="00E0396B" w:rsidRPr="003E2A61">
        <w:rPr>
          <w:rFonts w:eastAsia="Aptos"/>
          <w:kern w:val="2"/>
          <w:lang w:val="en-US"/>
          <w14:ligatures w14:val="standardContextual"/>
        </w:rPr>
        <w:t>Gersten &amp; Kelly</w:t>
      </w:r>
      <w:r w:rsidR="008210BC" w:rsidRPr="33513164">
        <w:rPr>
          <w:lang w:val="en-US"/>
        </w:rPr>
        <w:t xml:space="preserve">, 1992; </w:t>
      </w:r>
      <w:r w:rsidR="006B59C2" w:rsidRPr="33513164">
        <w:rPr>
          <w:lang w:val="en-US"/>
        </w:rPr>
        <w:t>Hollins, 2017</w:t>
      </w:r>
      <w:r w:rsidR="0075622D">
        <w:rPr>
          <w:lang w:val="en-US"/>
        </w:rPr>
        <w:t xml:space="preserve">; total </w:t>
      </w:r>
      <m:oMath>
        <m:r>
          <w:rPr>
            <w:rFonts w:ascii="Cambria Math" w:hAnsi="Cambria Math"/>
          </w:rPr>
          <m:t>n=21</m:t>
        </m:r>
      </m:oMath>
      <w:r w:rsidR="00C5246F">
        <w:t xml:space="preserve">, </w:t>
      </w:r>
      <w:r w:rsidR="00C5246F" w:rsidRPr="00C5246F">
        <w:t>75</w:t>
      </w:r>
      <w:r w:rsidR="00C5246F" w:rsidRPr="00C5246F">
        <w:rPr>
          <w:i/>
          <w:iCs/>
        </w:rPr>
        <w:t>%</w:t>
      </w:r>
      <w:r w:rsidRPr="33513164">
        <w:rPr>
          <w:lang w:val="en-US"/>
        </w:rPr>
        <w:t>), followed by problem-solving discussions (</w:t>
      </w:r>
      <w:r w:rsidR="005C3772" w:rsidRPr="33513164">
        <w:rPr>
          <w:lang w:val="en-US"/>
        </w:rPr>
        <w:t>Courduff, 2011; Du &amp; Lyublinskaya, 2022; So et al., 2022</w:t>
      </w:r>
      <w:r w:rsidR="0075622D">
        <w:rPr>
          <w:lang w:val="en-US"/>
        </w:rPr>
        <w:t xml:space="preserve">; total </w:t>
      </w:r>
      <m:oMath>
        <m:r>
          <w:rPr>
            <w:rFonts w:ascii="Cambria Math" w:hAnsi="Cambria Math"/>
          </w:rPr>
          <m:t>n=17</m:t>
        </m:r>
        <m:r>
          <w:rPr>
            <w:rFonts w:ascii="Cambria Math" w:hAnsi="Cambria Math"/>
          </w:rPr>
          <m:t xml:space="preserve">,  </m:t>
        </m:r>
        <m:r>
          <m:rPr>
            <m:sty m:val="p"/>
          </m:rPr>
          <w:rPr>
            <w:rFonts w:ascii="Cambria Math" w:hAnsi="Cambria Math"/>
          </w:rPr>
          <m:t>61%</m:t>
        </m:r>
      </m:oMath>
      <w:r w:rsidRPr="33513164">
        <w:rPr>
          <w:lang w:val="en-US"/>
        </w:rPr>
        <w:t>), written directions for teacher use in practice (</w:t>
      </w:r>
      <w:r w:rsidR="00E16B42" w:rsidRPr="33513164">
        <w:rPr>
          <w:lang w:val="en-US"/>
        </w:rPr>
        <w:t xml:space="preserve">Ciampa, 2017; Courduff, 2011; </w:t>
      </w:r>
      <w:r w:rsidR="00A82282" w:rsidRPr="33513164">
        <w:rPr>
          <w:lang w:val="en-US"/>
        </w:rPr>
        <w:t>Du &amp; Lyublinskaya, 2022</w:t>
      </w:r>
      <w:r w:rsidR="0075622D">
        <w:rPr>
          <w:lang w:val="en-US"/>
        </w:rPr>
        <w:t xml:space="preserve">; total </w:t>
      </w:r>
      <m:oMath>
        <m:r>
          <w:rPr>
            <w:rFonts w:ascii="Cambria Math" w:hAnsi="Cambria Math"/>
          </w:rPr>
          <m:t>n=16</m:t>
        </m:r>
        <m:r>
          <w:rPr>
            <w:rFonts w:ascii="Cambria Math" w:hAnsi="Cambria Math"/>
          </w:rPr>
          <m:t xml:space="preserve">,  </m:t>
        </m:r>
        <m:r>
          <m:rPr>
            <m:sty m:val="p"/>
          </m:rPr>
          <w:rPr>
            <w:rFonts w:ascii="Cambria Math" w:hAnsi="Cambria Math"/>
          </w:rPr>
          <m:t>57%</m:t>
        </m:r>
      </m:oMath>
      <w:r w:rsidRPr="33513164">
        <w:rPr>
          <w:lang w:val="en-US"/>
        </w:rPr>
        <w:t>), live modeling (</w:t>
      </w:r>
      <w:r w:rsidR="003133EC" w:rsidRPr="33513164">
        <w:rPr>
          <w:lang w:val="en-US"/>
        </w:rPr>
        <w:t xml:space="preserve">Cain, 2018; Ciampa, 2017; Du &amp; Lyublinskaya, 2022; </w:t>
      </w:r>
      <w:r w:rsidR="00E0396B" w:rsidRPr="003E2A61">
        <w:rPr>
          <w:rFonts w:eastAsia="Aptos"/>
          <w:kern w:val="2"/>
          <w:lang w:val="en-US"/>
          <w14:ligatures w14:val="standardContextual"/>
        </w:rPr>
        <w:t>Gersten &amp; Kelly</w:t>
      </w:r>
      <w:r w:rsidR="003133EC" w:rsidRPr="33513164">
        <w:rPr>
          <w:lang w:val="en-US"/>
        </w:rPr>
        <w:t>, 1992; So et al., 2021</w:t>
      </w:r>
      <w:r w:rsidR="0075622D">
        <w:rPr>
          <w:lang w:val="en-US"/>
        </w:rPr>
        <w:t xml:space="preserve">; total </w:t>
      </w:r>
      <w:bookmarkStart w:id="14" w:name="_Hlk198850436"/>
      <m:oMath>
        <m:r>
          <w:rPr>
            <w:rFonts w:ascii="Cambria Math" w:hAnsi="Cambria Math"/>
          </w:rPr>
          <m:t>n=15</m:t>
        </m:r>
      </m:oMath>
      <w:bookmarkEnd w:id="14"/>
      <w:r w:rsidR="00C5246F">
        <w:t>, 53%</w:t>
      </w:r>
      <w:r w:rsidRPr="33513164">
        <w:rPr>
          <w:lang w:val="en-US"/>
        </w:rPr>
        <w:t>) self-reflection (</w:t>
      </w:r>
      <w:r w:rsidR="004D65B3" w:rsidRPr="33513164">
        <w:rPr>
          <w:lang w:val="en-US"/>
        </w:rPr>
        <w:t xml:space="preserve">Ciampa, 2017; </w:t>
      </w:r>
      <w:r w:rsidR="00F5513F" w:rsidRPr="33513164">
        <w:rPr>
          <w:lang w:val="en-US"/>
        </w:rPr>
        <w:t>Du &amp; Lyublinskaya, 2022; Hollins, 2017; So et al., 2021</w:t>
      </w:r>
      <w:r w:rsidR="0075622D">
        <w:rPr>
          <w:lang w:val="en-US"/>
        </w:rPr>
        <w:t xml:space="preserve">; total </w:t>
      </w:r>
      <m:oMath>
        <m:r>
          <w:rPr>
            <w:rFonts w:ascii="Cambria Math" w:hAnsi="Cambria Math"/>
          </w:rPr>
          <m:t>n=13</m:t>
        </m:r>
        <m:r>
          <w:rPr>
            <w:rFonts w:ascii="Cambria Math" w:hAnsi="Cambria Math"/>
          </w:rPr>
          <m:t>, 46%</m:t>
        </m:r>
      </m:oMath>
      <w:r w:rsidRPr="33513164">
        <w:rPr>
          <w:lang w:val="en-US"/>
        </w:rPr>
        <w:t>), in-service workshops (</w:t>
      </w:r>
      <w:r w:rsidR="00C813A9" w:rsidRPr="33513164">
        <w:rPr>
          <w:lang w:val="en-US"/>
        </w:rPr>
        <w:t>C</w:t>
      </w:r>
      <w:r w:rsidR="00EC011D" w:rsidRPr="33513164">
        <w:rPr>
          <w:lang w:val="en-US"/>
        </w:rPr>
        <w:t>iampa, 2017;</w:t>
      </w:r>
      <w:r w:rsidR="003F6A78" w:rsidRPr="33513164">
        <w:rPr>
          <w:lang w:val="en-US"/>
        </w:rPr>
        <w:t xml:space="preserve"> </w:t>
      </w:r>
      <w:r w:rsidR="00E0396B" w:rsidRPr="003E2A61">
        <w:rPr>
          <w:rFonts w:eastAsia="Aptos"/>
          <w:kern w:val="2"/>
          <w:lang w:val="en-US"/>
          <w14:ligatures w14:val="standardContextual"/>
        </w:rPr>
        <w:t>Gersten &amp; Kelly</w:t>
      </w:r>
      <w:r w:rsidR="003F6A78" w:rsidRPr="33513164">
        <w:rPr>
          <w:lang w:val="en-US"/>
        </w:rPr>
        <w:t>, 1992; So et al., 2021</w:t>
      </w:r>
      <w:r w:rsidR="0075622D">
        <w:rPr>
          <w:lang w:val="en-US"/>
        </w:rPr>
        <w:t xml:space="preserve">; total </w:t>
      </w:r>
      <m:oMath>
        <m:r>
          <w:rPr>
            <w:rFonts w:ascii="Cambria Math" w:hAnsi="Cambria Math"/>
          </w:rPr>
          <m:t>n=11</m:t>
        </m:r>
        <m:r>
          <w:rPr>
            <w:rFonts w:ascii="Cambria Math" w:hAnsi="Cambria Math"/>
          </w:rPr>
          <m:t>,  39%</m:t>
        </m:r>
      </m:oMath>
      <w:r w:rsidRPr="33513164">
        <w:rPr>
          <w:lang w:val="en-US"/>
        </w:rPr>
        <w:t>), collaborative progress monitoring (</w:t>
      </w:r>
      <w:r w:rsidR="000709F2" w:rsidRPr="33513164">
        <w:rPr>
          <w:lang w:val="en-US"/>
        </w:rPr>
        <w:t>Courduff, 2011</w:t>
      </w:r>
      <w:r w:rsidR="0075622D">
        <w:rPr>
          <w:lang w:val="en-US"/>
        </w:rPr>
        <w:t xml:space="preserve">; </w:t>
      </w:r>
      <m:oMath>
        <m:r>
          <w:rPr>
            <w:rFonts w:ascii="Cambria Math" w:hAnsi="Cambria Math"/>
          </w:rPr>
          <m:t>n=10</m:t>
        </m:r>
        <m:r>
          <w:rPr>
            <w:rFonts w:ascii="Cambria Math" w:hAnsi="Cambria Math"/>
          </w:rPr>
          <m:t>, 35%</m:t>
        </m:r>
      </m:oMath>
      <w:r w:rsidRPr="33513164">
        <w:rPr>
          <w:lang w:val="en-US"/>
        </w:rPr>
        <w:t>), and performance feedback (</w:t>
      </w:r>
      <w:r w:rsidR="000709F2" w:rsidRPr="33513164">
        <w:rPr>
          <w:lang w:val="en-US"/>
        </w:rPr>
        <w:t>Cain, 2018</w:t>
      </w:r>
      <w:r w:rsidR="003B6335">
        <w:rPr>
          <w:lang w:val="en-US"/>
        </w:rPr>
        <w:t>;</w:t>
      </w:r>
      <w:r w:rsidR="000709F2" w:rsidRPr="33513164">
        <w:rPr>
          <w:lang w:val="en-US"/>
        </w:rPr>
        <w:t xml:space="preserve"> </w:t>
      </w:r>
      <w:r w:rsidR="00E0396B" w:rsidRPr="003E2A61">
        <w:rPr>
          <w:rFonts w:eastAsia="Aptos"/>
          <w:kern w:val="2"/>
          <w:lang w:val="en-US"/>
          <w14:ligatures w14:val="standardContextual"/>
        </w:rPr>
        <w:t>Gersten &amp; Kelly</w:t>
      </w:r>
      <w:r w:rsidR="00480CED" w:rsidRPr="33513164">
        <w:rPr>
          <w:lang w:val="en-US"/>
        </w:rPr>
        <w:t>, 1992</w:t>
      </w:r>
      <w:r w:rsidR="003B6335">
        <w:rPr>
          <w:lang w:val="en-US"/>
        </w:rPr>
        <w:t xml:space="preserve">; total </w:t>
      </w:r>
      <m:oMath>
        <m:r>
          <w:rPr>
            <w:rFonts w:ascii="Cambria Math" w:hAnsi="Cambria Math"/>
          </w:rPr>
          <m:t>n=5</m:t>
        </m:r>
        <m:r>
          <w:rPr>
            <w:rFonts w:ascii="Cambria Math" w:hAnsi="Cambria Math"/>
          </w:rPr>
          <m:t>, 18%</m:t>
        </m:r>
      </m:oMath>
      <w:r w:rsidRPr="33513164">
        <w:rPr>
          <w:lang w:val="en-US"/>
        </w:rPr>
        <w:t xml:space="preserve">). Both quasi-experimental group designs (Du, 2022; Weiss et al., 2016) used a combination of Live Model, Independent Practice, Self Reflection, and Performance Feedback with their participants. In-service workshops were </w:t>
      </w:r>
      <w:r w:rsidR="007A23E3" w:rsidRPr="33513164">
        <w:rPr>
          <w:lang w:val="en-US"/>
        </w:rPr>
        <w:t>used</w:t>
      </w:r>
      <w:r w:rsidRPr="33513164">
        <w:rPr>
          <w:lang w:val="en-US"/>
        </w:rPr>
        <w:t xml:space="preserve"> in both survey designs (Byrd-Jones, 2011; Schmidt et al., 2017). Schmidt discussed the use of problem-solving discussions in those in-service sessions as well. </w:t>
      </w:r>
    </w:p>
    <w:p w14:paraId="473530E2" w14:textId="467C6FB0" w:rsidR="00692540" w:rsidRDefault="00403D84" w:rsidP="00E0546B">
      <w:pPr>
        <w:spacing w:line="480" w:lineRule="auto"/>
        <w:ind w:firstLine="720"/>
      </w:pPr>
      <w:r w:rsidRPr="33513164">
        <w:rPr>
          <w:lang w:val="en-US"/>
        </w:rPr>
        <w:t xml:space="preserve">In </w:t>
      </w:r>
      <m:oMath>
        <m:r>
          <w:rPr>
            <w:rFonts w:ascii="Cambria Math" w:hAnsi="Cambria Math"/>
          </w:rPr>
          <m:t>14%</m:t>
        </m:r>
      </m:oMath>
      <w:r w:rsidRPr="33513164">
        <w:rPr>
          <w:lang w:val="en-US"/>
        </w:rPr>
        <w:t xml:space="preserve"> of the case studies</w:t>
      </w:r>
      <w:r w:rsidR="004C3242">
        <w:rPr>
          <w:lang w:val="en-US"/>
        </w:rPr>
        <w:t xml:space="preserve"> </w:t>
      </w:r>
      <w:r w:rsidR="004C3242" w:rsidRPr="33513164">
        <w:rPr>
          <w:lang w:val="en-US"/>
        </w:rPr>
        <w:t>(Cain, 2018; Hollins, 2017</w:t>
      </w:r>
      <w:r w:rsidR="004C3242">
        <w:rPr>
          <w:lang w:val="en-US"/>
        </w:rPr>
        <w:t xml:space="preserve">; total </w:t>
      </w:r>
      <m:oMath>
        <m:r>
          <w:rPr>
            <w:rFonts w:ascii="Cambria Math" w:hAnsi="Cambria Math"/>
          </w:rPr>
          <m:t>n=4</m:t>
        </m:r>
      </m:oMath>
      <w:r w:rsidR="004C3242" w:rsidRPr="33513164">
        <w:rPr>
          <w:lang w:val="en-US"/>
        </w:rPr>
        <w:t>)</w:t>
      </w:r>
      <w:r w:rsidRPr="33513164">
        <w:rPr>
          <w:lang w:val="en-US"/>
        </w:rPr>
        <w:t xml:space="preserve">, the total weeks of </w:t>
      </w:r>
      <w:r w:rsidR="0061601B">
        <w:rPr>
          <w:lang w:val="en-US"/>
        </w:rPr>
        <w:t xml:space="preserve">PD </w:t>
      </w:r>
      <w:r w:rsidR="0061601B" w:rsidRPr="33513164">
        <w:rPr>
          <w:lang w:val="en-US"/>
        </w:rPr>
        <w:t>were</w:t>
      </w:r>
      <w:r w:rsidRPr="33513164">
        <w:rPr>
          <w:lang w:val="en-US"/>
        </w:rPr>
        <w:t xml:space="preserve"> not specified. Another 14% (</w:t>
      </w:r>
      <w:r w:rsidR="00480CED" w:rsidRPr="33513164">
        <w:rPr>
          <w:lang w:val="en-US"/>
        </w:rPr>
        <w:t>So et al., 2021</w:t>
      </w:r>
      <w:r w:rsidR="004C3242">
        <w:rPr>
          <w:lang w:val="en-US"/>
        </w:rPr>
        <w:t xml:space="preserve">; </w:t>
      </w:r>
      <m:oMath>
        <m:r>
          <w:rPr>
            <w:rFonts w:ascii="Cambria Math" w:hAnsi="Cambria Math"/>
          </w:rPr>
          <m:t>n=4</m:t>
        </m:r>
      </m:oMath>
      <w:r w:rsidRPr="33513164">
        <w:rPr>
          <w:lang w:val="en-US"/>
        </w:rPr>
        <w:t>) only covered a single week. The typical duration</w:t>
      </w:r>
      <w:r w:rsidR="005F0139" w:rsidRPr="33513164">
        <w:rPr>
          <w:lang w:val="en-US"/>
        </w:rPr>
        <w:t xml:space="preserve"> of PD</w:t>
      </w:r>
      <w:r w:rsidR="00907FB5" w:rsidRPr="33513164">
        <w:rPr>
          <w:lang w:val="en-US"/>
        </w:rPr>
        <w:t xml:space="preserve">, in </w:t>
      </w:r>
      <m:oMath>
        <m:r>
          <w:rPr>
            <w:rFonts w:ascii="Cambria Math" w:hAnsi="Cambria Math"/>
          </w:rPr>
          <m:t>46%</m:t>
        </m:r>
      </m:oMath>
      <w:r w:rsidR="005F0139" w:rsidRPr="33513164">
        <w:rPr>
          <w:lang w:val="en-US"/>
        </w:rPr>
        <w:t xml:space="preserve"> of case studies</w:t>
      </w:r>
      <w:r w:rsidRPr="33513164">
        <w:rPr>
          <w:lang w:val="en-US"/>
        </w:rPr>
        <w:t xml:space="preserve"> was 5-6 weeks (</w:t>
      </w:r>
      <w:r w:rsidR="005F0139" w:rsidRPr="33513164">
        <w:rPr>
          <w:lang w:val="en-US"/>
        </w:rPr>
        <w:t>Ciampa, 2017; Courduff</w:t>
      </w:r>
      <w:r w:rsidR="007B64C1" w:rsidRPr="33513164">
        <w:rPr>
          <w:lang w:val="en-US"/>
        </w:rPr>
        <w:t>, 2011</w:t>
      </w:r>
      <w:r w:rsidR="004C3242">
        <w:rPr>
          <w:lang w:val="en-US"/>
        </w:rPr>
        <w:t xml:space="preserve">; total </w:t>
      </w:r>
      <m:oMath>
        <m:r>
          <w:rPr>
            <w:rFonts w:ascii="Cambria Math" w:hAnsi="Cambria Math"/>
          </w:rPr>
          <m:t>n=13</m:t>
        </m:r>
      </m:oMath>
      <w:r w:rsidR="007B64C1" w:rsidRPr="33513164">
        <w:rPr>
          <w:lang w:val="en-US"/>
        </w:rPr>
        <w:t>)</w:t>
      </w:r>
      <w:r w:rsidRPr="33513164">
        <w:rPr>
          <w:lang w:val="en-US"/>
        </w:rPr>
        <w:t>. Additionally, three case studies (Du &amp; Lyublinskaya, 2022) extended over 15 weeks. The breakdown of the number of PD sessions offered was</w:t>
      </w:r>
      <w:r w:rsidR="007C24A9" w:rsidRPr="33513164">
        <w:rPr>
          <w:lang w:val="en-US"/>
        </w:rPr>
        <w:t xml:space="preserve"> varied between</w:t>
      </w:r>
      <w:r w:rsidR="004C3242">
        <w:rPr>
          <w:lang w:val="en-US"/>
        </w:rPr>
        <w:t xml:space="preserve"> the methods of</w:t>
      </w:r>
      <w:r w:rsidR="007C24A9" w:rsidRPr="33513164">
        <w:rPr>
          <w:lang w:val="en-US"/>
        </w:rPr>
        <w:t xml:space="preserve"> study authors.</w:t>
      </w:r>
      <w:r w:rsidR="006E40F4" w:rsidRPr="33513164">
        <w:rPr>
          <w:lang w:val="en-US"/>
        </w:rPr>
        <w:t xml:space="preserve"> </w:t>
      </w:r>
      <w:r w:rsidR="008976E9" w:rsidRPr="33513164">
        <w:rPr>
          <w:lang w:val="en-US"/>
        </w:rPr>
        <w:t>Du</w:t>
      </w:r>
      <w:r w:rsidR="00AB332A" w:rsidRPr="33513164">
        <w:rPr>
          <w:lang w:val="en-US"/>
        </w:rPr>
        <w:t xml:space="preserve"> &amp; Lyublinskaya (2022</w:t>
      </w:r>
      <w:r w:rsidR="008976E9" w:rsidRPr="33513164">
        <w:rPr>
          <w:lang w:val="en-US"/>
        </w:rPr>
        <w:t xml:space="preserve">) offered the most sessions in their </w:t>
      </w:r>
      <w:r w:rsidR="00254C0D" w:rsidRPr="33513164">
        <w:rPr>
          <w:lang w:val="en-US"/>
        </w:rPr>
        <w:t xml:space="preserve">11% of </w:t>
      </w:r>
      <w:r w:rsidR="008976E9" w:rsidRPr="33513164">
        <w:rPr>
          <w:lang w:val="en-US"/>
        </w:rPr>
        <w:t>case studies</w:t>
      </w:r>
      <w:r w:rsidR="00AB332A" w:rsidRPr="33513164">
        <w:rPr>
          <w:lang w:val="en-US"/>
        </w:rPr>
        <w:t xml:space="preserve"> </w:t>
      </w:r>
      <w:r w:rsidR="00254C0D" w:rsidRPr="33513164">
        <w:rPr>
          <w:lang w:val="en-US"/>
        </w:rPr>
        <w:lastRenderedPageBreak/>
        <w:t>(</w:t>
      </w:r>
      <m:oMath>
        <m:r>
          <w:rPr>
            <w:rFonts w:ascii="Cambria Math" w:hAnsi="Cambria Math"/>
          </w:rPr>
          <m:t>n=3</m:t>
        </m:r>
      </m:oMath>
      <w:r w:rsidR="00AB332A" w:rsidRPr="33513164">
        <w:rPr>
          <w:lang w:val="en-US"/>
        </w:rPr>
        <w:t>)</w:t>
      </w:r>
      <w:r w:rsidR="00254C0D" w:rsidRPr="33513164">
        <w:rPr>
          <w:lang w:val="en-US"/>
        </w:rPr>
        <w:t xml:space="preserve"> with 15</w:t>
      </w:r>
      <w:r w:rsidR="00490C20" w:rsidRPr="33513164">
        <w:rPr>
          <w:lang w:val="en-US"/>
        </w:rPr>
        <w:t xml:space="preserve">. </w:t>
      </w:r>
      <m:oMath>
        <m:r>
          <w:rPr>
            <w:rFonts w:ascii="Cambria Math" w:hAnsi="Cambria Math"/>
          </w:rPr>
          <m:t>15%</m:t>
        </m:r>
      </m:oMath>
      <w:r w:rsidR="006F4E70" w:rsidRPr="33513164">
        <w:rPr>
          <w:lang w:val="en-US"/>
        </w:rPr>
        <w:t xml:space="preserve"> of case studies lasted </w:t>
      </w:r>
      <m:oMath>
        <m:r>
          <w:rPr>
            <w:rFonts w:ascii="Cambria Math" w:hAnsi="Cambria Math"/>
          </w:rPr>
          <m:t>10</m:t>
        </m:r>
      </m:oMath>
      <w:r w:rsidR="006F4E70" w:rsidRPr="33513164">
        <w:rPr>
          <w:lang w:val="en-US"/>
        </w:rPr>
        <w:t xml:space="preserve"> or </w:t>
      </w:r>
      <m:oMath>
        <m:r>
          <w:rPr>
            <w:rFonts w:ascii="Cambria Math" w:hAnsi="Cambria Math"/>
          </w:rPr>
          <m:t>11</m:t>
        </m:r>
      </m:oMath>
      <w:r w:rsidR="006F4E70" w:rsidRPr="33513164">
        <w:rPr>
          <w:lang w:val="en-US"/>
        </w:rPr>
        <w:t xml:space="preserve"> sessions</w:t>
      </w:r>
      <w:r w:rsidR="00193CE1">
        <w:rPr>
          <w:lang w:val="en-US"/>
        </w:rPr>
        <w:t xml:space="preserve"> </w:t>
      </w:r>
      <w:r w:rsidR="00193CE1" w:rsidRPr="33513164">
        <w:rPr>
          <w:lang w:val="en-US"/>
        </w:rPr>
        <w:t>(</w:t>
      </w:r>
      <w:r w:rsidR="00E0396B" w:rsidRPr="003E2A61">
        <w:rPr>
          <w:rFonts w:eastAsia="Aptos"/>
          <w:kern w:val="2"/>
          <w:lang w:val="en-US"/>
          <w14:ligatures w14:val="standardContextual"/>
        </w:rPr>
        <w:t>Gersten &amp; Kelly</w:t>
      </w:r>
      <w:r w:rsidR="00193CE1" w:rsidRPr="33513164">
        <w:rPr>
          <w:lang w:val="en-US"/>
        </w:rPr>
        <w:t>, 1992</w:t>
      </w:r>
      <w:r w:rsidR="00193CE1">
        <w:rPr>
          <w:lang w:val="en-US"/>
        </w:rPr>
        <w:t xml:space="preserve">; </w:t>
      </w:r>
      <m:oMath>
        <m:r>
          <w:rPr>
            <w:rFonts w:ascii="Cambria Math" w:hAnsi="Cambria Math"/>
          </w:rPr>
          <m:t>n=4</m:t>
        </m:r>
      </m:oMath>
      <w:r w:rsidR="00193CE1" w:rsidRPr="33513164">
        <w:rPr>
          <w:lang w:val="en-US"/>
        </w:rPr>
        <w:t>)</w:t>
      </w:r>
      <w:r w:rsidR="006F4E70" w:rsidRPr="33513164">
        <w:rPr>
          <w:lang w:val="en-US"/>
        </w:rPr>
        <w:t>.</w:t>
      </w:r>
      <w:r w:rsidR="00F938B8" w:rsidRPr="33513164">
        <w:rPr>
          <w:lang w:val="en-US"/>
        </w:rPr>
        <w:t xml:space="preserve"> The most frequent number of sessions was </w:t>
      </w:r>
      <m:oMath>
        <m:r>
          <w:rPr>
            <w:rFonts w:ascii="Cambria Math" w:hAnsi="Cambria Math"/>
          </w:rPr>
          <m:t>5-6</m:t>
        </m:r>
      </m:oMath>
      <w:r w:rsidR="00F938B8" w:rsidRPr="33513164">
        <w:rPr>
          <w:lang w:val="en-US"/>
        </w:rPr>
        <w:t xml:space="preserve"> (</w:t>
      </w:r>
      <m:oMath>
        <m:r>
          <w:rPr>
            <w:rFonts w:ascii="Cambria Math" w:hAnsi="Cambria Math"/>
          </w:rPr>
          <m:t>46%</m:t>
        </m:r>
      </m:oMath>
      <w:r w:rsidR="00451D3C" w:rsidRPr="33513164">
        <w:rPr>
          <w:lang w:val="en-US"/>
        </w:rPr>
        <w:t>; Ciampa, 2017; Courduff, 2011</w:t>
      </w:r>
      <w:r w:rsidR="00193CE1">
        <w:rPr>
          <w:lang w:val="en-US"/>
        </w:rPr>
        <w:t xml:space="preserve">; total </w:t>
      </w:r>
      <m:oMath>
        <m:r>
          <w:rPr>
            <w:rFonts w:ascii="Cambria Math" w:hAnsi="Cambria Math"/>
          </w:rPr>
          <m:t>n=13</m:t>
        </m:r>
      </m:oMath>
      <w:r w:rsidR="00451D3C" w:rsidRPr="33513164">
        <w:rPr>
          <w:lang w:val="en-US"/>
        </w:rPr>
        <w:t>).</w:t>
      </w:r>
      <w:r w:rsidR="00D03AA9" w:rsidRPr="33513164">
        <w:rPr>
          <w:lang w:val="en-US"/>
        </w:rPr>
        <w:t xml:space="preserve"> </w:t>
      </w:r>
      <m:oMath>
        <m:r>
          <w:rPr>
            <w:rFonts w:ascii="Cambria Math" w:hAnsi="Cambria Math"/>
          </w:rPr>
          <m:t>18%</m:t>
        </m:r>
      </m:oMath>
      <w:r w:rsidR="00D03AA9" w:rsidRPr="33513164">
        <w:rPr>
          <w:lang w:val="en-US"/>
        </w:rPr>
        <w:t xml:space="preserve"> of studies included </w:t>
      </w:r>
      <m:oMath>
        <m:r>
          <w:rPr>
            <w:rFonts w:ascii="Cambria Math" w:hAnsi="Cambria Math"/>
          </w:rPr>
          <m:t>2-3</m:t>
        </m:r>
      </m:oMath>
      <w:r w:rsidR="00D03AA9" w:rsidRPr="33513164">
        <w:rPr>
          <w:lang w:val="en-US"/>
        </w:rPr>
        <w:t xml:space="preserve"> sessions (</w:t>
      </w:r>
      <w:r w:rsidR="00E65E04" w:rsidRPr="33513164">
        <w:rPr>
          <w:lang w:val="en-US"/>
        </w:rPr>
        <w:t>Cain, 2018; So et al., 2021</w:t>
      </w:r>
      <w:r w:rsidR="00193CE1">
        <w:rPr>
          <w:lang w:val="en-US"/>
        </w:rPr>
        <w:t xml:space="preserve">; total </w:t>
      </w:r>
      <m:oMath>
        <m:r>
          <w:rPr>
            <w:rFonts w:ascii="Cambria Math" w:hAnsi="Cambria Math"/>
          </w:rPr>
          <m:t>n=5</m:t>
        </m:r>
      </m:oMath>
      <w:r w:rsidR="00E65E04" w:rsidRPr="33513164">
        <w:rPr>
          <w:lang w:val="en-US"/>
        </w:rPr>
        <w:t>).</w:t>
      </w:r>
      <w:r w:rsidR="00692540" w:rsidRPr="33513164">
        <w:rPr>
          <w:lang w:val="en-US"/>
        </w:rPr>
        <w:t xml:space="preserve"> </w:t>
      </w:r>
      <w:r w:rsidRPr="33513164">
        <w:rPr>
          <w:lang w:val="en-US"/>
        </w:rPr>
        <w:t>The number of PD sessions offered was not detailed in the one article’s case studies (Hollins, 2017</w:t>
      </w:r>
      <w:r w:rsidR="00193CE1">
        <w:rPr>
          <w:lang w:val="en-US"/>
        </w:rPr>
        <w:t xml:space="preserve">; </w:t>
      </w:r>
      <m:oMath>
        <m:r>
          <w:rPr>
            <w:rFonts w:ascii="Cambria Math" w:hAnsi="Cambria Math"/>
          </w:rPr>
          <m:t>n=3</m:t>
        </m:r>
      </m:oMath>
      <w:r w:rsidRPr="33513164">
        <w:rPr>
          <w:lang w:val="en-US"/>
        </w:rPr>
        <w:t xml:space="preserve">). </w:t>
      </w:r>
    </w:p>
    <w:p w14:paraId="06ED7DDE" w14:textId="328872A2" w:rsidR="00403D84" w:rsidRDefault="00403D84" w:rsidP="00CC29F4">
      <w:pPr>
        <w:spacing w:line="480" w:lineRule="auto"/>
        <w:ind w:firstLine="720"/>
      </w:pPr>
      <w:r w:rsidRPr="33513164">
        <w:rPr>
          <w:lang w:val="en-US"/>
        </w:rPr>
        <w:t xml:space="preserve">Length of time spent on </w:t>
      </w:r>
      <w:r w:rsidR="00CB66A8">
        <w:rPr>
          <w:lang w:val="en-US"/>
        </w:rPr>
        <w:t>PD</w:t>
      </w:r>
      <w:r w:rsidRPr="33513164">
        <w:rPr>
          <w:lang w:val="en-US"/>
        </w:rPr>
        <w:t xml:space="preserve"> tasks was detailed in hours</w:t>
      </w:r>
      <w:r w:rsidR="00692540" w:rsidRPr="33513164">
        <w:rPr>
          <w:lang w:val="en-US"/>
        </w:rPr>
        <w:t xml:space="preserve"> by session</w:t>
      </w:r>
      <w:r w:rsidR="004D6CB1" w:rsidRPr="33513164">
        <w:rPr>
          <w:lang w:val="en-US"/>
        </w:rPr>
        <w:t xml:space="preserve">, though not reported in </w:t>
      </w:r>
      <m:oMath>
        <m:r>
          <w:rPr>
            <w:rFonts w:ascii="Cambria Math" w:hAnsi="Cambria Math"/>
          </w:rPr>
          <m:t>14%</m:t>
        </m:r>
      </m:oMath>
      <w:r w:rsidR="004D6CB1" w:rsidRPr="33513164">
        <w:rPr>
          <w:lang w:val="en-US"/>
        </w:rPr>
        <w:t xml:space="preserve"> of studies (Cain, 2018; </w:t>
      </w:r>
      <w:r w:rsidR="005D1343" w:rsidRPr="33513164">
        <w:rPr>
          <w:lang w:val="en-US"/>
        </w:rPr>
        <w:t>Hollins, 2017</w:t>
      </w:r>
      <w:r w:rsidR="00193CE1">
        <w:rPr>
          <w:lang w:val="en-US"/>
        </w:rPr>
        <w:t xml:space="preserve">; total </w:t>
      </w:r>
      <m:oMath>
        <m:r>
          <w:rPr>
            <w:rFonts w:ascii="Cambria Math" w:hAnsi="Cambria Math"/>
          </w:rPr>
          <m:t>n=4</m:t>
        </m:r>
      </m:oMath>
      <w:r w:rsidR="005D1343" w:rsidRPr="33513164">
        <w:rPr>
          <w:lang w:val="en-US"/>
        </w:rPr>
        <w:t>). Most other case studies (</w:t>
      </w:r>
      <m:oMath>
        <m:r>
          <w:rPr>
            <w:rFonts w:ascii="Cambria Math" w:hAnsi="Cambria Math"/>
          </w:rPr>
          <m:t>61%;</m:t>
        </m:r>
      </m:oMath>
      <w:r w:rsidR="00936821" w:rsidRPr="33513164">
        <w:rPr>
          <w:lang w:val="en-US"/>
        </w:rPr>
        <w:t xml:space="preserve"> Ciampa, 2017; Courduff, 2011</w:t>
      </w:r>
      <w:r w:rsidR="00193CE1">
        <w:rPr>
          <w:lang w:val="en-US"/>
        </w:rPr>
        <w:t>;</w:t>
      </w:r>
      <w:r w:rsidR="0014373F" w:rsidRPr="33513164">
        <w:rPr>
          <w:lang w:val="en-US"/>
        </w:rPr>
        <w:t xml:space="preserve"> </w:t>
      </w:r>
      <w:r w:rsidR="00E0396B" w:rsidRPr="003E2A61">
        <w:rPr>
          <w:rFonts w:eastAsia="Aptos"/>
          <w:kern w:val="2"/>
          <w:lang w:val="en-US"/>
          <w14:ligatures w14:val="standardContextual"/>
        </w:rPr>
        <w:t>Gersten &amp; Kelly</w:t>
      </w:r>
      <w:r w:rsidR="0014373F" w:rsidRPr="33513164">
        <w:rPr>
          <w:lang w:val="en-US"/>
        </w:rPr>
        <w:t>, 1992</w:t>
      </w:r>
      <w:r w:rsidR="00193CE1">
        <w:rPr>
          <w:lang w:val="en-US"/>
        </w:rPr>
        <w:t xml:space="preserve">; total </w:t>
      </w:r>
      <m:oMath>
        <m:r>
          <w:rPr>
            <w:rFonts w:ascii="Cambria Math" w:hAnsi="Cambria Math"/>
          </w:rPr>
          <m:t>n=17</m:t>
        </m:r>
      </m:oMath>
      <w:r w:rsidR="00C01D09" w:rsidRPr="33513164">
        <w:rPr>
          <w:lang w:val="en-US"/>
        </w:rPr>
        <w:t>) had approximately one hour per session</w:t>
      </w:r>
      <w:r w:rsidR="005E5EEF" w:rsidRPr="33513164">
        <w:rPr>
          <w:lang w:val="en-US"/>
        </w:rPr>
        <w:t xml:space="preserve">, while Du &amp; Lyublinskaya (2022) </w:t>
      </w:r>
      <w:r w:rsidR="00D63CDE" w:rsidRPr="33513164">
        <w:rPr>
          <w:lang w:val="en-US"/>
        </w:rPr>
        <w:t xml:space="preserve">saw each </w:t>
      </w:r>
      <w:r w:rsidR="00AD2718" w:rsidRPr="33513164">
        <w:rPr>
          <w:lang w:val="en-US"/>
        </w:rPr>
        <w:t xml:space="preserve">case study’s </w:t>
      </w:r>
      <w:r w:rsidR="00D63CDE" w:rsidRPr="33513164">
        <w:rPr>
          <w:lang w:val="en-US"/>
        </w:rPr>
        <w:t xml:space="preserve">PD session </w:t>
      </w:r>
      <w:r w:rsidR="00AD2718" w:rsidRPr="33513164">
        <w:rPr>
          <w:lang w:val="en-US"/>
        </w:rPr>
        <w:t xml:space="preserve">length </w:t>
      </w:r>
      <w:r w:rsidR="00D63CDE" w:rsidRPr="33513164">
        <w:rPr>
          <w:lang w:val="en-US"/>
        </w:rPr>
        <w:t xml:space="preserve">reported by study authors as </w:t>
      </w:r>
      <m:oMath>
        <m:r>
          <w:rPr>
            <w:rFonts w:ascii="Cambria Math" w:hAnsi="Cambria Math"/>
          </w:rPr>
          <m:t>1.5</m:t>
        </m:r>
      </m:oMath>
      <w:r w:rsidR="00D63CDE" w:rsidRPr="33513164">
        <w:rPr>
          <w:lang w:val="en-US"/>
        </w:rPr>
        <w:t xml:space="preserve"> hours</w:t>
      </w:r>
      <w:r w:rsidR="00193CE1">
        <w:rPr>
          <w:lang w:val="en-US"/>
        </w:rPr>
        <w:t xml:space="preserve"> </w:t>
      </w:r>
      <w:r w:rsidR="00193CE1" w:rsidRPr="33513164">
        <w:rPr>
          <w:lang w:val="en-US"/>
        </w:rPr>
        <w:t>(</w:t>
      </w:r>
      <m:oMath>
        <m:r>
          <w:rPr>
            <w:rFonts w:ascii="Cambria Math" w:hAnsi="Cambria Math"/>
          </w:rPr>
          <m:t>n=3</m:t>
        </m:r>
      </m:oMath>
      <w:r w:rsidR="00193CE1" w:rsidRPr="33513164">
        <w:rPr>
          <w:lang w:val="en-US"/>
        </w:rPr>
        <w:t>)</w:t>
      </w:r>
      <w:r w:rsidR="00AD2718" w:rsidRPr="33513164">
        <w:rPr>
          <w:lang w:val="en-US"/>
        </w:rPr>
        <w:t>.</w:t>
      </w:r>
      <w:r w:rsidR="00EF3475" w:rsidRPr="33513164">
        <w:rPr>
          <w:lang w:val="en-US"/>
        </w:rPr>
        <w:t xml:space="preserve"> The final case studies </w:t>
      </w:r>
      <w:r w:rsidR="00CC29F4" w:rsidRPr="33513164">
        <w:rPr>
          <w:lang w:val="en-US"/>
        </w:rPr>
        <w:t xml:space="preserve">sessions </w:t>
      </w:r>
      <w:r w:rsidR="00EF3475" w:rsidRPr="33513164">
        <w:rPr>
          <w:lang w:val="en-US"/>
        </w:rPr>
        <w:t xml:space="preserve">were full </w:t>
      </w:r>
      <w:r w:rsidR="00CC29F4" w:rsidRPr="33513164">
        <w:rPr>
          <w:lang w:val="en-US"/>
        </w:rPr>
        <w:t>8-hour</w:t>
      </w:r>
      <w:r w:rsidR="00EF3475" w:rsidRPr="33513164">
        <w:rPr>
          <w:lang w:val="en-US"/>
        </w:rPr>
        <w:t xml:space="preserve"> day</w:t>
      </w:r>
      <w:r w:rsidR="00C500A3">
        <w:rPr>
          <w:lang w:val="en-US"/>
        </w:rPr>
        <w:t>s (</w:t>
      </w:r>
      <w:r w:rsidR="00C500A3" w:rsidRPr="33513164">
        <w:rPr>
          <w:lang w:val="en-US"/>
        </w:rPr>
        <w:t>So et al., 2021</w:t>
      </w:r>
      <w:r w:rsidR="00C500A3">
        <w:rPr>
          <w:lang w:val="en-US"/>
        </w:rPr>
        <w:t xml:space="preserve">; </w:t>
      </w:r>
      <m:oMath>
        <m:r>
          <w:rPr>
            <w:rFonts w:ascii="Cambria Math" w:hAnsi="Cambria Math"/>
          </w:rPr>
          <m:t>n=4</m:t>
        </m:r>
      </m:oMath>
      <w:r w:rsidR="00C500A3" w:rsidRPr="33513164">
        <w:rPr>
          <w:lang w:val="en-US"/>
        </w:rPr>
        <w:t>)</w:t>
      </w:r>
      <w:r w:rsidR="00EF3475" w:rsidRPr="33513164">
        <w:rPr>
          <w:lang w:val="en-US"/>
        </w:rPr>
        <w:t>.</w:t>
      </w:r>
    </w:p>
    <w:p w14:paraId="600255A9" w14:textId="77777777" w:rsidR="00403D84" w:rsidRDefault="00403D84" w:rsidP="00E0546B">
      <w:pPr>
        <w:spacing w:line="480" w:lineRule="auto"/>
        <w:ind w:firstLine="720"/>
      </w:pPr>
      <w:r>
        <w:t>In group designs, Du (2022) also had a 15-week duration with an equal number of 90-minute sessions for PD. One study was a single eight-hour session (Schmidt et al., 2017), and another was a single three-hour session (Weiss et al., 2016). Byrd-Jones (2011) reported an average PD time of 8 hours in their survey. From group designs, only one provided follow-up (Weiss et al., 2016) by giving feedback on a produced audio podcast the teachers created using computer software after the PD.</w:t>
      </w:r>
    </w:p>
    <w:p w14:paraId="7A68EB60" w14:textId="3203266A" w:rsidR="00E82E03" w:rsidRDefault="00E82E03" w:rsidP="00E82E03">
      <w:pPr>
        <w:spacing w:line="480" w:lineRule="auto"/>
        <w:ind w:firstLine="720"/>
      </w:pPr>
      <w:r w:rsidRPr="65809E86">
        <w:rPr>
          <w:lang w:val="en-US"/>
        </w:rPr>
        <w:t>The analysis of Darling-Hammond et al.’s (2017) seven PD elements across all included studies revealed clear patterns of inclusion</w:t>
      </w:r>
      <w:r w:rsidR="008C7A3D" w:rsidRPr="65809E86">
        <w:rPr>
          <w:lang w:val="en-US"/>
        </w:rPr>
        <w:t xml:space="preserve"> in case study designs</w:t>
      </w:r>
      <w:r w:rsidRPr="65809E86">
        <w:rPr>
          <w:lang w:val="en-US"/>
        </w:rPr>
        <w:t xml:space="preserve">. For the participants (n = 28), all experienced PD that included Content Focus, Active Learning, and Coaching/Expert Support (Cain, 2018; Ciampa, 2017; Courduff, 2011; Du &amp; Lyublinskaya, 2022; </w:t>
      </w:r>
      <w:bookmarkStart w:id="15" w:name="_Hlk198758067"/>
      <w:r w:rsidRPr="65809E86">
        <w:rPr>
          <w:lang w:val="en-US"/>
        </w:rPr>
        <w:t>Gersten &amp; Kelly</w:t>
      </w:r>
      <w:bookmarkEnd w:id="15"/>
      <w:r w:rsidRPr="65809E86">
        <w:rPr>
          <w:lang w:val="en-US"/>
        </w:rPr>
        <w:t xml:space="preserve">, 1992; Hollins, 2017; So et al., 2021). Collaboration and the Use of Models and Modeling were reported in approximately 86% of case study participants (Cain, 2018; Ciampa, 2017; Courduff, 2011; Du </w:t>
      </w:r>
      <w:r w:rsidRPr="65809E86">
        <w:rPr>
          <w:lang w:val="en-US"/>
        </w:rPr>
        <w:lastRenderedPageBreak/>
        <w:t>&amp; Lyublinskaya, 2022; Hollins, 2017; So et al., 2021). Feedback and Reflection, along with Sustained Duration, were universally present across these studies (Cain, 2018; Ciampa, 2017; Courduff, 2011; Du &amp; Lyublinskaya, 2022; Gersten &amp; Kelly, 1992; Hollins, 2017; So et al., 2021).</w:t>
      </w:r>
    </w:p>
    <w:p w14:paraId="7BE60FF0" w14:textId="7021D7A5" w:rsidR="00E82E03" w:rsidRDefault="00E82E03" w:rsidP="00FE1B9E">
      <w:pPr>
        <w:spacing w:line="480" w:lineRule="auto"/>
        <w:ind w:firstLine="720"/>
      </w:pPr>
      <w:r w:rsidRPr="65809E86">
        <w:rPr>
          <w:lang w:val="en-US"/>
        </w:rPr>
        <w:t xml:space="preserve">In contrast, group-design studies </w:t>
      </w:r>
      <w:r w:rsidR="008C7A3D" w:rsidRPr="65809E86">
        <w:rPr>
          <w:lang w:val="en-US"/>
        </w:rPr>
        <w:t>showed</w:t>
      </w:r>
      <w:r w:rsidRPr="65809E86">
        <w:rPr>
          <w:lang w:val="en-US"/>
        </w:rPr>
        <w:t xml:space="preserve"> more variability. Content Focus and Active Learning were widely present, each reported in 75% of group studies (Du, 2022; Schmidt et al., 2017; Weiss et al., 2016). Collaboration and Modeling were less common, appearing in only half of the group-design studies reviewed (Du, 2022; Schmidt et al., 2017; Weiss et al., 2016). Coaching/Expert Support and Sustained Duration were the least </w:t>
      </w:r>
      <w:r w:rsidR="003F5397" w:rsidRPr="65809E86">
        <w:rPr>
          <w:lang w:val="en-US"/>
        </w:rPr>
        <w:t>often</w:t>
      </w:r>
      <w:r w:rsidRPr="65809E86">
        <w:rPr>
          <w:lang w:val="en-US"/>
        </w:rPr>
        <w:t xml:space="preserve"> reported elements, </w:t>
      </w:r>
      <w:r w:rsidR="003F5397" w:rsidRPr="65809E86">
        <w:rPr>
          <w:lang w:val="en-US"/>
        </w:rPr>
        <w:t>clear</w:t>
      </w:r>
      <w:r w:rsidRPr="65809E86">
        <w:rPr>
          <w:lang w:val="en-US"/>
        </w:rPr>
        <w:t xml:space="preserve"> in only 25% of group studies (Du, 2022). Feedback and Reflection were noted in 75% of group studies, although often </w:t>
      </w:r>
      <w:r w:rsidR="00933F6E">
        <w:rPr>
          <w:lang w:val="en-US"/>
        </w:rPr>
        <w:t>lacked detail</w:t>
      </w:r>
      <w:r w:rsidR="00816ED6">
        <w:rPr>
          <w:lang w:val="en-US"/>
        </w:rPr>
        <w:t>ed reporting of what it was defined as</w:t>
      </w:r>
      <w:r w:rsidRPr="65809E86">
        <w:rPr>
          <w:lang w:val="en-US"/>
        </w:rPr>
        <w:t xml:space="preserve"> (Du, 2022; Schmidt et al., 2017; Weiss et al., 2016).</w:t>
      </w:r>
      <w:r w:rsidR="00FE1B9E" w:rsidRPr="65809E86">
        <w:rPr>
          <w:lang w:val="en-US"/>
        </w:rPr>
        <w:t xml:space="preserve"> </w:t>
      </w:r>
      <w:r w:rsidR="00DE08C3">
        <w:rPr>
          <w:lang w:val="en-US"/>
        </w:rPr>
        <w:t>T</w:t>
      </w:r>
      <w:r w:rsidRPr="65809E86">
        <w:rPr>
          <w:lang w:val="en-US"/>
        </w:rPr>
        <w:t>hese findings, including specific examples and detailed coding justifications for each PD element, is provided in supplementary materials available at https://justman.fyi/PDonETinSPED-Review.</w:t>
      </w:r>
    </w:p>
    <w:p w14:paraId="549D0E15" w14:textId="3496F2CF" w:rsidR="00403D84" w:rsidRDefault="00403D84" w:rsidP="00E0546B">
      <w:pPr>
        <w:spacing w:line="480" w:lineRule="auto"/>
        <w:ind w:firstLine="720"/>
      </w:pPr>
      <w:r w:rsidRPr="33513164">
        <w:rPr>
          <w:lang w:val="en-US"/>
        </w:rPr>
        <w:t xml:space="preserve">The type of </w:t>
      </w:r>
      <w:r w:rsidR="00E72B65">
        <w:rPr>
          <w:lang w:val="en-US"/>
        </w:rPr>
        <w:t>ET</w:t>
      </w:r>
      <w:r w:rsidRPr="33513164">
        <w:rPr>
          <w:lang w:val="en-US"/>
        </w:rPr>
        <w:t xml:space="preserve"> used in all case studies is presented in </w:t>
      </w:r>
      <w:r w:rsidRPr="003053CC">
        <w:rPr>
          <w:i/>
          <w:iCs/>
          <w:lang w:val="en-US"/>
        </w:rPr>
        <w:t>Figure 2</w:t>
      </w:r>
      <w:r w:rsidRPr="33513164">
        <w:rPr>
          <w:lang w:val="en-US"/>
        </w:rPr>
        <w:t xml:space="preserve">. The </w:t>
      </w:r>
      <w:r w:rsidR="005D4C93" w:rsidRPr="33513164">
        <w:rPr>
          <w:lang w:val="en-US"/>
        </w:rPr>
        <w:t xml:space="preserve">most common </w:t>
      </w:r>
      <w:r w:rsidRPr="33513164">
        <w:rPr>
          <w:lang w:val="en-US"/>
        </w:rPr>
        <w:t>hardware topics discussed were tablets (</w:t>
      </w:r>
      <w:r w:rsidR="00F33921" w:rsidRPr="33513164">
        <w:rPr>
          <w:lang w:val="en-US"/>
        </w:rPr>
        <w:t>71%</w:t>
      </w:r>
      <w:r w:rsidR="00DE08C3">
        <w:rPr>
          <w:lang w:val="en-US"/>
        </w:rPr>
        <w:t>;</w:t>
      </w:r>
      <w:r w:rsidR="00F33921" w:rsidRPr="33513164">
        <w:rPr>
          <w:lang w:val="en-US"/>
        </w:rPr>
        <w:t xml:space="preserve"> </w:t>
      </w:r>
      <w:r w:rsidR="005D4C93" w:rsidRPr="33513164">
        <w:rPr>
          <w:lang w:val="en-US"/>
        </w:rPr>
        <w:t xml:space="preserve">Cain, 2018; Courduff, 2011; </w:t>
      </w:r>
      <w:r w:rsidR="00F33921" w:rsidRPr="33513164">
        <w:rPr>
          <w:lang w:val="en-US"/>
        </w:rPr>
        <w:t>Du &amp; Lyublinskaya, 2022; Hollins, 2017</w:t>
      </w:r>
      <w:r w:rsidR="00DE08C3">
        <w:rPr>
          <w:lang w:val="en-US"/>
        </w:rPr>
        <w:t xml:space="preserve">; total </w:t>
      </w:r>
      <m:oMath>
        <m:r>
          <w:rPr>
            <w:rFonts w:ascii="Cambria Math" w:hAnsi="Cambria Math"/>
          </w:rPr>
          <m:t>n=20</m:t>
        </m:r>
      </m:oMath>
      <w:r w:rsidRPr="33513164">
        <w:rPr>
          <w:lang w:val="en-US"/>
        </w:rPr>
        <w:t xml:space="preserve">), </w:t>
      </w:r>
      <w:r w:rsidR="00B734B9" w:rsidRPr="33513164">
        <w:rPr>
          <w:lang w:val="en-US"/>
        </w:rPr>
        <w:t xml:space="preserve">each of </w:t>
      </w:r>
      <w:r w:rsidRPr="33513164">
        <w:rPr>
          <w:lang w:val="en-US"/>
        </w:rPr>
        <w:t xml:space="preserve">mobile phones and interactive displays </w:t>
      </w:r>
      <w:r w:rsidR="00B734B9" w:rsidRPr="33513164">
        <w:rPr>
          <w:lang w:val="en-US"/>
        </w:rPr>
        <w:t xml:space="preserve">was represented in </w:t>
      </w:r>
      <w:r w:rsidR="00B92F45" w:rsidRPr="33513164">
        <w:rPr>
          <w:lang w:val="en-US"/>
        </w:rPr>
        <w:t xml:space="preserve">61% of case studies </w:t>
      </w:r>
      <w:r w:rsidRPr="33513164">
        <w:rPr>
          <w:lang w:val="en-US"/>
        </w:rPr>
        <w:t>(</w:t>
      </w:r>
      <w:r w:rsidR="00891F7A" w:rsidRPr="33513164">
        <w:rPr>
          <w:lang w:val="en-US"/>
        </w:rPr>
        <w:t xml:space="preserve">Cain, 2018; </w:t>
      </w:r>
      <w:r w:rsidR="00A163FC" w:rsidRPr="33513164">
        <w:rPr>
          <w:lang w:val="en-US"/>
        </w:rPr>
        <w:t xml:space="preserve">Ciampa, 2017; </w:t>
      </w:r>
      <w:r w:rsidR="00891F7A" w:rsidRPr="33513164">
        <w:rPr>
          <w:lang w:val="en-US"/>
        </w:rPr>
        <w:t>Courduff, 2011; Du &amp; Lyublinskaya, 2022; Hollins, 2017</w:t>
      </w:r>
      <w:r w:rsidR="00B42473">
        <w:rPr>
          <w:lang w:val="en-US"/>
        </w:rPr>
        <w:t xml:space="preserve">; total </w:t>
      </w:r>
      <m:oMath>
        <m:r>
          <w:rPr>
            <w:rFonts w:ascii="Cambria Math" w:hAnsi="Cambria Math"/>
          </w:rPr>
          <m:t>n=17</m:t>
        </m:r>
      </m:oMath>
      <w:r w:rsidR="00891F7A" w:rsidRPr="33513164">
        <w:rPr>
          <w:lang w:val="en-US"/>
        </w:rPr>
        <w:t>)</w:t>
      </w:r>
      <w:r w:rsidRPr="33513164">
        <w:rPr>
          <w:lang w:val="en-US"/>
        </w:rPr>
        <w:t>, extended / virtual reality headsets</w:t>
      </w:r>
      <w:r w:rsidR="007C76CC" w:rsidRPr="33513164">
        <w:rPr>
          <w:lang w:val="en-US"/>
        </w:rPr>
        <w:t xml:space="preserve"> in 57%</w:t>
      </w:r>
      <w:r w:rsidRPr="33513164">
        <w:rPr>
          <w:lang w:val="en-US"/>
        </w:rPr>
        <w:t xml:space="preserve"> (</w:t>
      </w:r>
      <w:r w:rsidR="00920587" w:rsidRPr="33513164">
        <w:rPr>
          <w:lang w:val="en-US"/>
        </w:rPr>
        <w:t>Courduff, 2011; Du &amp; Lyublinskaya, 2022; So et al., 2021</w:t>
      </w:r>
      <w:r w:rsidR="00B42473">
        <w:rPr>
          <w:lang w:val="en-US"/>
        </w:rPr>
        <w:t xml:space="preserve">; total </w:t>
      </w:r>
      <m:oMath>
        <m:r>
          <w:rPr>
            <w:rFonts w:ascii="Cambria Math" w:hAnsi="Cambria Math"/>
          </w:rPr>
          <m:t>n=16</m:t>
        </m:r>
      </m:oMath>
      <w:r w:rsidRPr="33513164">
        <w:rPr>
          <w:lang w:val="en-US"/>
        </w:rPr>
        <w:t>), laptop computers (</w:t>
      </w:r>
      <w:r w:rsidR="001A526E" w:rsidRPr="33513164">
        <w:rPr>
          <w:lang w:val="en-US"/>
        </w:rPr>
        <w:t xml:space="preserve">Courduff, 2011; Du &amp; Lyublinskaya, 2022; </w:t>
      </w:r>
      <w:r w:rsidR="00DF5322" w:rsidRPr="33513164">
        <w:rPr>
          <w:lang w:val="en-US"/>
        </w:rPr>
        <w:t>Hollins, 2017</w:t>
      </w:r>
      <w:r w:rsidR="00B42473">
        <w:rPr>
          <w:lang w:val="en-US"/>
        </w:rPr>
        <w:t xml:space="preserve">; total </w:t>
      </w:r>
      <m:oMath>
        <m:r>
          <w:rPr>
            <w:rFonts w:ascii="Cambria Math" w:hAnsi="Cambria Math"/>
          </w:rPr>
          <m:t>n=16</m:t>
        </m:r>
      </m:oMath>
      <w:r w:rsidRPr="33513164">
        <w:rPr>
          <w:lang w:val="en-US"/>
        </w:rPr>
        <w:t>), desktop computers (</w:t>
      </w:r>
      <w:r w:rsidR="00DF5322" w:rsidRPr="33513164">
        <w:rPr>
          <w:lang w:val="en-US"/>
        </w:rPr>
        <w:t>Courduff, 2011; Du &amp; Lyublinskaya, 2022</w:t>
      </w:r>
      <w:r w:rsidR="00B42473">
        <w:rPr>
          <w:lang w:val="en-US"/>
        </w:rPr>
        <w:t xml:space="preserve">; total </w:t>
      </w:r>
      <m:oMath>
        <m:r>
          <w:rPr>
            <w:rFonts w:ascii="Cambria Math" w:hAnsi="Cambria Math"/>
          </w:rPr>
          <m:t>n=13</m:t>
        </m:r>
      </m:oMath>
      <w:r w:rsidRPr="33513164">
        <w:rPr>
          <w:lang w:val="en-US"/>
        </w:rPr>
        <w:t>), maker technologies (i.e., 3D printers and MakeyMakeys</w:t>
      </w:r>
      <w:r w:rsidR="008B0CEE">
        <w:rPr>
          <w:lang w:val="en-US"/>
        </w:rPr>
        <w:t>;</w:t>
      </w:r>
      <w:r w:rsidR="00B42473">
        <w:rPr>
          <w:lang w:val="en-US"/>
        </w:rPr>
        <w:t xml:space="preserve"> </w:t>
      </w:r>
      <w:r w:rsidR="00DF5322" w:rsidRPr="33513164">
        <w:rPr>
          <w:lang w:val="en-US"/>
        </w:rPr>
        <w:t>Du &amp; Lyublinskaya, So et al., 2021</w:t>
      </w:r>
      <w:r w:rsidR="00B42473">
        <w:rPr>
          <w:lang w:val="en-US"/>
        </w:rPr>
        <w:t xml:space="preserve">; total </w:t>
      </w:r>
      <m:oMath>
        <m:r>
          <w:rPr>
            <w:rFonts w:ascii="Cambria Math" w:hAnsi="Cambria Math"/>
          </w:rPr>
          <m:t>n=7</m:t>
        </m:r>
      </m:oMath>
      <w:r w:rsidRPr="33513164">
        <w:rPr>
          <w:lang w:val="en-US"/>
        </w:rPr>
        <w:t>), Video Discs (</w:t>
      </w:r>
      <w:r w:rsidR="00E0396B" w:rsidRPr="003E2A61">
        <w:rPr>
          <w:rFonts w:eastAsia="Aptos"/>
          <w:kern w:val="2"/>
          <w:lang w:val="en-US"/>
          <w14:ligatures w14:val="standardContextual"/>
        </w:rPr>
        <w:t xml:space="preserve">Gersten &amp; </w:t>
      </w:r>
      <w:r w:rsidR="00E0396B" w:rsidRPr="003E2A61">
        <w:rPr>
          <w:rFonts w:eastAsia="Aptos"/>
          <w:kern w:val="2"/>
          <w:lang w:val="en-US"/>
          <w14:ligatures w14:val="standardContextual"/>
        </w:rPr>
        <w:lastRenderedPageBreak/>
        <w:t>Kelly</w:t>
      </w:r>
      <w:r w:rsidR="00BC1835" w:rsidRPr="33513164">
        <w:rPr>
          <w:lang w:val="en-US"/>
        </w:rPr>
        <w:t>, 1992</w:t>
      </w:r>
      <w:r w:rsidR="00E0396B">
        <w:rPr>
          <w:lang w:val="en-US"/>
        </w:rPr>
        <w:t xml:space="preserve">; </w:t>
      </w:r>
      <m:oMath>
        <m:r>
          <w:rPr>
            <w:rFonts w:ascii="Cambria Math" w:hAnsi="Cambria Math"/>
            <w:lang w:val="en-US"/>
          </w:rPr>
          <m:t>n=4</m:t>
        </m:r>
      </m:oMath>
      <w:r w:rsidRPr="33513164">
        <w:rPr>
          <w:lang w:val="en-US"/>
        </w:rPr>
        <w:t xml:space="preserve">), </w:t>
      </w:r>
      <w:r w:rsidR="00BC1835" w:rsidRPr="33513164">
        <w:rPr>
          <w:lang w:val="en-US"/>
        </w:rPr>
        <w:t>Chromebooks</w:t>
      </w:r>
      <w:r w:rsidR="0079181F" w:rsidRPr="33513164">
        <w:rPr>
          <w:lang w:val="en-US"/>
        </w:rPr>
        <w:t xml:space="preserve"> and Wearables were each represented in 11% of case studies</w:t>
      </w:r>
      <w:r w:rsidR="00BC1835" w:rsidRPr="33513164">
        <w:rPr>
          <w:lang w:val="en-US"/>
        </w:rPr>
        <w:t xml:space="preserve"> (Du &amp; Lyublinskaya, 2022</w:t>
      </w:r>
      <w:r w:rsidR="00B42473">
        <w:rPr>
          <w:lang w:val="en-US"/>
        </w:rPr>
        <w:t xml:space="preserve">; </w:t>
      </w:r>
      <m:oMath>
        <m:r>
          <w:rPr>
            <w:rFonts w:ascii="Cambria Math" w:hAnsi="Cambria Math"/>
            <w:lang w:val="en-US"/>
          </w:rPr>
          <m:t>n=3</m:t>
        </m:r>
      </m:oMath>
      <w:r w:rsidR="00BC1835" w:rsidRPr="33513164">
        <w:rPr>
          <w:lang w:val="en-US"/>
        </w:rPr>
        <w:t>)</w:t>
      </w:r>
      <w:r w:rsidRPr="33513164">
        <w:rPr>
          <w:lang w:val="en-US"/>
        </w:rPr>
        <w:t xml:space="preserve">. The most common type of software discussed were websites </w:t>
      </w:r>
      <w:r w:rsidR="00060928" w:rsidRPr="33513164">
        <w:rPr>
          <w:lang w:val="en-US"/>
        </w:rPr>
        <w:t xml:space="preserve">in 86% of </w:t>
      </w:r>
      <w:r w:rsidR="00501F7F" w:rsidRPr="33513164">
        <w:rPr>
          <w:lang w:val="en-US"/>
        </w:rPr>
        <w:t xml:space="preserve">case </w:t>
      </w:r>
      <w:r w:rsidR="00060928" w:rsidRPr="33513164">
        <w:rPr>
          <w:lang w:val="en-US"/>
        </w:rPr>
        <w:t xml:space="preserve">studies </w:t>
      </w:r>
      <w:r w:rsidRPr="33513164">
        <w:rPr>
          <w:lang w:val="en-US"/>
        </w:rPr>
        <w:t>(</w:t>
      </w:r>
      <w:r w:rsidR="00D57D27" w:rsidRPr="33513164">
        <w:rPr>
          <w:lang w:val="en-US"/>
        </w:rPr>
        <w:t xml:space="preserve">Cain, 2018; Ciampa, 2017; Courduff, 2011; </w:t>
      </w:r>
      <w:r w:rsidR="00240BCC" w:rsidRPr="33513164">
        <w:rPr>
          <w:lang w:val="en-US"/>
        </w:rPr>
        <w:t>Du &amp; Lyublinskaya, 2022; Hollins, 2017; So et al., 2021</w:t>
      </w:r>
      <w:r w:rsidR="00B42473">
        <w:rPr>
          <w:lang w:val="en-US"/>
        </w:rPr>
        <w:t xml:space="preserve">; total </w:t>
      </w:r>
      <m:oMath>
        <m:r>
          <w:rPr>
            <w:rFonts w:ascii="Cambria Math" w:hAnsi="Cambria Math"/>
          </w:rPr>
          <m:t>n=24</m:t>
        </m:r>
      </m:oMath>
      <w:r w:rsidRPr="33513164">
        <w:rPr>
          <w:lang w:val="en-US"/>
        </w:rPr>
        <w:t>), followed by computer applications</w:t>
      </w:r>
      <w:r w:rsidR="00501F7F" w:rsidRPr="33513164">
        <w:rPr>
          <w:lang w:val="en-US"/>
        </w:rPr>
        <w:t xml:space="preserve"> in 75% of case studies</w:t>
      </w:r>
      <w:r w:rsidRPr="33513164">
        <w:rPr>
          <w:lang w:val="en-US"/>
        </w:rPr>
        <w:t xml:space="preserve"> (</w:t>
      </w:r>
      <w:r w:rsidR="00F26758" w:rsidRPr="33513164">
        <w:rPr>
          <w:lang w:val="en-US"/>
        </w:rPr>
        <w:t>Cain, 2018; Ciampa, 2017; Courduff, 2011; Du &amp; Lyublinskaya, 2022; Hollins, 2017; and So et al., 2021</w:t>
      </w:r>
      <w:r w:rsidR="00B42473">
        <w:rPr>
          <w:lang w:val="en-US"/>
        </w:rPr>
        <w:t xml:space="preserve">; total </w:t>
      </w:r>
      <m:oMath>
        <m:r>
          <w:rPr>
            <w:rFonts w:ascii="Cambria Math" w:hAnsi="Cambria Math"/>
          </w:rPr>
          <m:t>n=21</m:t>
        </m:r>
      </m:oMath>
      <w:r w:rsidRPr="33513164">
        <w:rPr>
          <w:lang w:val="en-US"/>
        </w:rPr>
        <w:t>), mobile apps</w:t>
      </w:r>
      <w:r w:rsidR="00146053" w:rsidRPr="33513164">
        <w:rPr>
          <w:lang w:val="en-US"/>
        </w:rPr>
        <w:t xml:space="preserve"> were utilized in 68% of case studies</w:t>
      </w:r>
      <w:r w:rsidRPr="33513164">
        <w:rPr>
          <w:lang w:val="en-US"/>
        </w:rPr>
        <w:t xml:space="preserve"> (</w:t>
      </w:r>
      <w:r w:rsidR="00501F7F" w:rsidRPr="33513164">
        <w:rPr>
          <w:lang w:val="en-US"/>
        </w:rPr>
        <w:t xml:space="preserve">Cain, 2018; Ciampa, 2017; Courduff, 2011; </w:t>
      </w:r>
      <w:r w:rsidR="008D4BDE" w:rsidRPr="33513164">
        <w:rPr>
          <w:lang w:val="en-US"/>
        </w:rPr>
        <w:t>Du &amp; Lyublinskaya, 2022; Hollins, 2017</w:t>
      </w:r>
      <w:r w:rsidR="00B42473">
        <w:rPr>
          <w:lang w:val="en-US"/>
        </w:rPr>
        <w:t xml:space="preserve">; total </w:t>
      </w:r>
      <m:oMath>
        <m:r>
          <w:rPr>
            <w:rFonts w:ascii="Cambria Math" w:hAnsi="Cambria Math"/>
          </w:rPr>
          <m:t>n=19</m:t>
        </m:r>
      </m:oMath>
      <w:r w:rsidRPr="33513164">
        <w:rPr>
          <w:lang w:val="en-US"/>
        </w:rPr>
        <w:t>), learning management systems (</w:t>
      </w:r>
      <w:r w:rsidR="00CC23CD" w:rsidRPr="33513164">
        <w:rPr>
          <w:lang w:val="en-US"/>
        </w:rPr>
        <w:t>Cain, 2018; Du &amp; Lyublinskaya, 2022</w:t>
      </w:r>
      <w:r w:rsidR="00B42473">
        <w:rPr>
          <w:lang w:val="en-US"/>
        </w:rPr>
        <w:t xml:space="preserve">; total </w:t>
      </w:r>
      <m:oMath>
        <m:r>
          <w:rPr>
            <w:rFonts w:ascii="Cambria Math" w:hAnsi="Cambria Math"/>
          </w:rPr>
          <m:t>n=4</m:t>
        </m:r>
      </m:oMath>
      <w:r w:rsidRPr="33513164">
        <w:rPr>
          <w:lang w:val="en-US"/>
        </w:rPr>
        <w:t>), and natural language processors (</w:t>
      </w:r>
      <w:r w:rsidR="00EB7F3F" w:rsidRPr="33513164">
        <w:rPr>
          <w:lang w:val="en-US"/>
        </w:rPr>
        <w:t>Ciampa, 2018; Courduff, 2011</w:t>
      </w:r>
      <w:r w:rsidR="00B42473">
        <w:rPr>
          <w:lang w:val="en-US"/>
        </w:rPr>
        <w:t xml:space="preserve">; </w:t>
      </w:r>
      <m:oMath>
        <m:r>
          <w:rPr>
            <w:rFonts w:ascii="Cambria Math" w:hAnsi="Cambria Math"/>
          </w:rPr>
          <m:t>n=2</m:t>
        </m:r>
      </m:oMath>
      <w:r w:rsidRPr="33513164">
        <w:rPr>
          <w:lang w:val="en-US"/>
        </w:rPr>
        <w:t>). Audiobooks, videos, and word prediction tools were all mentioned once each.</w:t>
      </w:r>
    </w:p>
    <w:p w14:paraId="283225BB" w14:textId="77777777" w:rsidR="00403D84" w:rsidRDefault="00403D84" w:rsidP="00E0546B">
      <w:pPr>
        <w:spacing w:line="480" w:lineRule="auto"/>
        <w:ind w:firstLine="720"/>
      </w:pPr>
      <w:r>
        <w:t xml:space="preserve">In group designs, all studies mentioned laptop computers </w:t>
      </w:r>
      <w:r w:rsidRPr="00152166">
        <w:t xml:space="preserve">(Byrd-Jones, 2011; </w:t>
      </w:r>
      <w:r w:rsidRPr="00C60FA9">
        <w:t>Du, 2022</w:t>
      </w:r>
      <w:r w:rsidRPr="00152166">
        <w:t>; Schmidt et al., 2017; Weiss et al., 2016)</w:t>
      </w:r>
      <w:r>
        <w:t xml:space="preserve">. Tablets were used in all studies except one </w:t>
      </w:r>
      <w:r w:rsidRPr="00152166">
        <w:t>(Byrd-Jones, 2011; Schmidt et al., 2017; Weiss et al., 2016)</w:t>
      </w:r>
      <w:r>
        <w:t xml:space="preserve">. Interactive displays were discussed in all studies except one </w:t>
      </w:r>
      <w:r w:rsidRPr="00152166">
        <w:t xml:space="preserve">(Byrd-Jones, 2011; </w:t>
      </w:r>
      <w:r w:rsidRPr="00C60FA9">
        <w:t>Du, 2022</w:t>
      </w:r>
      <w:r w:rsidRPr="00152166">
        <w:t>; Weiss et al., 2016)</w:t>
      </w:r>
      <w:r>
        <w:t>. One study also mentioned Extended / Virtual Reality Headsets, Mobile Phones (Du, 2022).</w:t>
      </w:r>
    </w:p>
    <w:p w14:paraId="26DE3234" w14:textId="77777777" w:rsidR="00403D84" w:rsidRPr="00F14B34" w:rsidRDefault="00403D84" w:rsidP="00572B2E">
      <w:pPr>
        <w:pStyle w:val="Heading2"/>
      </w:pPr>
      <w:r w:rsidRPr="00F14B34">
        <w:t>Reliability Estimations</w:t>
      </w:r>
    </w:p>
    <w:p w14:paraId="2AB54520" w14:textId="5B9FBA25" w:rsidR="00332169" w:rsidRDefault="00403D84" w:rsidP="00E50AD5">
      <w:pPr>
        <w:spacing w:line="480" w:lineRule="auto"/>
        <w:ind w:firstLine="720"/>
      </w:pPr>
      <w:r w:rsidRPr="65809E86">
        <w:rPr>
          <w:lang w:val="en-US"/>
        </w:rPr>
        <w:t xml:space="preserve">The average agreement for descriptive coding (participants, setting, implementers) </w:t>
      </w:r>
      <w:r w:rsidR="009C1CE2">
        <w:rPr>
          <w:lang w:val="en-US"/>
        </w:rPr>
        <w:t>will be reported here after secondary coding has been completed.</w:t>
      </w:r>
      <w:r w:rsidRPr="65809E86">
        <w:rPr>
          <w:lang w:val="en-US"/>
        </w:rPr>
        <w:t xml:space="preserve"> </w:t>
      </w:r>
    </w:p>
    <w:p w14:paraId="62AB330F" w14:textId="60C2442B" w:rsidR="00332169" w:rsidRDefault="00332169" w:rsidP="00A16ACD">
      <w:pPr>
        <w:pStyle w:val="Heading1"/>
      </w:pPr>
      <w:r>
        <w:t>Discussion</w:t>
      </w:r>
    </w:p>
    <w:p w14:paraId="597E02DE" w14:textId="61126719"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This descriptive review aimed to synthesize existing research examining professional development (PD) programs designed to support special education teachers in integrating educational technology</w:t>
      </w:r>
      <w:r w:rsidR="009A2CB5">
        <w:rPr>
          <w:rFonts w:eastAsia="Aptos"/>
          <w:kern w:val="2"/>
          <w:lang w:val="en-US"/>
          <w14:ligatures w14:val="standardContextual"/>
        </w:rPr>
        <w:t xml:space="preserve"> (ET)</w:t>
      </w:r>
      <w:r w:rsidRPr="003E2A61">
        <w:rPr>
          <w:rFonts w:eastAsia="Aptos"/>
          <w:kern w:val="2"/>
          <w:lang w:val="en-US"/>
          <w14:ligatures w14:val="standardContextual"/>
        </w:rPr>
        <w:t xml:space="preserve">. The review was guided by four research questions addressing </w:t>
      </w:r>
      <w:r w:rsidRPr="003E2A61">
        <w:rPr>
          <w:rFonts w:eastAsia="Aptos"/>
          <w:kern w:val="2"/>
          <w:lang w:val="en-US"/>
          <w14:ligatures w14:val="standardContextual"/>
        </w:rPr>
        <w:lastRenderedPageBreak/>
        <w:t>participant characteristics, PD settings, PD components, and the description of the types of technologies guiding teacher trainings.</w:t>
      </w:r>
    </w:p>
    <w:p w14:paraId="5240E5F9" w14:textId="77777777"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On participant characteristics (RQ1), study authors commonly reported special educators’ roles and general teaching responsibilities, However, fewer studies detailed specific demographic characteristics such as teacher experience, years of practice, training backgrounds, or other variables that may influence their practice.</w:t>
      </w:r>
    </w:p>
    <w:p w14:paraId="1EC36DCE" w14:textId="77777777"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In the PD (RQ2), school setting variability was seen across case studies and group designs. PD interventions were often situated within elementary (K-5) and middle (6-8) public school settings, spanning mostly urban contexts with a smaller number in high school (9-12) settings.</w:t>
      </w:r>
    </w:p>
    <w:p w14:paraId="4A584456" w14:textId="78D2AF87"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The results show consistent emphasis across studies on </w:t>
      </w:r>
      <w:r w:rsidR="00266ACE">
        <w:rPr>
          <w:rFonts w:eastAsia="Aptos"/>
          <w:kern w:val="2"/>
          <w:lang w:val="en-US"/>
          <w14:ligatures w14:val="standardContextual"/>
        </w:rPr>
        <w:t xml:space="preserve">the </w:t>
      </w:r>
      <w:r w:rsidRPr="003E2A61">
        <w:rPr>
          <w:rFonts w:eastAsia="Aptos"/>
          <w:kern w:val="2"/>
          <w:lang w:val="en-US"/>
          <w14:ligatures w14:val="standardContextual"/>
        </w:rPr>
        <w:t xml:space="preserve">two core elements of effective PD </w:t>
      </w:r>
      <w:r w:rsidR="00266ACE">
        <w:rPr>
          <w:rFonts w:eastAsia="Aptos"/>
          <w:kern w:val="2"/>
          <w:lang w:val="en-US"/>
          <w14:ligatures w14:val="standardContextual"/>
        </w:rPr>
        <w:t xml:space="preserve">of content focus and active learning as </w:t>
      </w:r>
      <w:r w:rsidRPr="003E2A61">
        <w:rPr>
          <w:rFonts w:eastAsia="Aptos"/>
          <w:kern w:val="2"/>
          <w:lang w:val="en-US"/>
          <w14:ligatures w14:val="standardContextual"/>
        </w:rPr>
        <w:t xml:space="preserve">described by </w:t>
      </w:r>
      <w:r w:rsidR="000C3E2C">
        <w:rPr>
          <w:rFonts w:eastAsia="Aptos"/>
          <w:kern w:val="2"/>
          <w:lang w:val="en-US"/>
          <w14:ligatures w14:val="standardContextual"/>
        </w:rPr>
        <w:t>Darling-Hammond et al.</w:t>
      </w:r>
      <w:r w:rsidR="000103FD">
        <w:rPr>
          <w:rFonts w:eastAsia="Aptos"/>
          <w:kern w:val="2"/>
          <w:lang w:val="en-US"/>
          <w14:ligatures w14:val="standardContextual"/>
        </w:rPr>
        <w:t xml:space="preserve"> </w:t>
      </w:r>
      <w:r w:rsidR="004C39F7">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{"citationID":"BCxVJm5T","properties":{"formattedCitation":"(2017)","plainCitation":"(2017)","noteIndex":0},"citationItems":[{"id":17626,"uris":["http://zotero.org/users/15409160/items/W46V646W"],"itemData":{"id":17626,"type":"report","language":"en","note":"DOI: 10.54300/122.311","publisher":"Learning Policy Institute","source":"Crossref","title":"Effective teacher professional development","URL":"https://learningpolicyinstitute.org/product/effective-teacher-professional-development-report","author":[{"family":"Darling-Hammond","given":"Linda"},{"family":"Hyler","given":"Maria"},{"family":"Gardner","given":"Madelyn"}],"accessed":{"date-parts":[["2025",5,22]]},"issued":{"date-parts":[["2017",6]]},"citation-key":"darling-hammondEffectiveTeacherProfessional2017"},"suppress-author":true}],"schema":"https://github.com/citation-style-language/schema/raw/master/csl-citation.json"} </w:instrText>
      </w:r>
      <w:r w:rsidR="004C39F7">
        <w:rPr>
          <w:rFonts w:eastAsia="Aptos"/>
          <w:kern w:val="2"/>
          <w:lang w:val="en-US"/>
          <w14:ligatures w14:val="standardContextual"/>
        </w:rPr>
        <w:fldChar w:fldCharType="separate"/>
      </w:r>
      <w:r w:rsidR="00266ACE">
        <w:rPr>
          <w:rFonts w:eastAsia="Aptos"/>
          <w:noProof/>
          <w:kern w:val="2"/>
          <w:lang w:val="en-US"/>
          <w14:ligatures w14:val="standardContextual"/>
        </w:rPr>
        <w:t>(2017)</w:t>
      </w:r>
      <w:r w:rsidR="004C39F7">
        <w:rPr>
          <w:rFonts w:eastAsia="Aptos"/>
          <w:kern w:val="2"/>
          <w:lang w:val="en-US"/>
          <w14:ligatures w14:val="standardContextual"/>
        </w:rPr>
        <w:fldChar w:fldCharType="end"/>
      </w:r>
      <w:r w:rsidR="000C3E2C">
        <w:rPr>
          <w:rFonts w:eastAsia="Aptos"/>
          <w:kern w:val="2"/>
          <w:lang w:val="en-US"/>
          <w14:ligatures w14:val="standardContextual"/>
        </w:rPr>
        <w:t xml:space="preserve">. </w:t>
      </w:r>
      <w:r w:rsidR="000C1C90">
        <w:rPr>
          <w:rFonts w:eastAsia="Aptos"/>
          <w:kern w:val="2"/>
          <w:lang w:val="en-US"/>
          <w14:ligatures w14:val="standardContextual"/>
        </w:rPr>
        <w:t>Most</w:t>
      </w:r>
      <w:r w:rsidRPr="003E2A61">
        <w:rPr>
          <w:rFonts w:eastAsia="Aptos"/>
          <w:kern w:val="2"/>
          <w:lang w:val="en-US"/>
          <w14:ligatures w14:val="standardContextual"/>
        </w:rPr>
        <w:t xml:space="preserve"> studies, irrespective of design, integrated these elements clearly into their PD activities. This aligns with prior literature highlighting the necessity of connecting </w:t>
      </w:r>
      <w:r w:rsidR="00CB66A8">
        <w:rPr>
          <w:rFonts w:eastAsia="Aptos"/>
          <w:kern w:val="2"/>
          <w:lang w:val="en-US"/>
          <w14:ligatures w14:val="standardContextual"/>
        </w:rPr>
        <w:t>PD</w:t>
      </w:r>
      <w:r w:rsidRPr="003E2A61">
        <w:rPr>
          <w:rFonts w:eastAsia="Aptos"/>
          <w:kern w:val="2"/>
          <w:lang w:val="en-US"/>
          <w14:ligatures w14:val="standardContextual"/>
        </w:rPr>
        <w:t xml:space="preserve"> directly to instructional practices and ensuring active participation by teachers </w:t>
      </w:r>
      <w:r w:rsidR="00C845C3">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{"citationID":"Uz1U7EEI","properties":{"formattedCitation":"(Darling-Hammond et al., 2017; Kennedy et al., 2014)","plainCitation":"(Darling-Hammond et al., 2017; Kennedy et al., 2014)","noteIndex":0},"citationItems":[{"id":17626,"uris":["http://zotero.org/users/15409160/items/W46V646W"],"itemData":{"id":17626,"type":"report","language":"en","note":"DOI: 10.54300/122.311","publisher":"Learning Policy Institute","source":"Crossref","title":"Effective teacher professional development","URL":"https://learningpolicyinstitute.org/product/effective-teacher-professional-development-report","author":[{"family":"Darling-Hammond","given":"Linda"},{"family":"Hyler","given":"Maria"},{"family":"Gardner","given":"Madelyn"}],"accessed":{"date-parts":[["2025",5,22]]},"issued":{"date-parts":[["2017",6]]},"citation-key":"darling-hammondEffectiveTeacherProfessional2017"}},{"id":1562,"uris":["http://zotero.org/users/15409160/items/2FHM2E5V"],"itemData":{"id":1562,"type":"article-journal","abstract":"Most general education content area teachers teach classes that include students with disabilities. However, this can be a daily challenge, as most teachers in this group receive limited support for meeting the unique needs of those students in their respective disciplines. One tool used by many to help support learning for all students is multimedia-based instruction; however, the quality of available multimedia can be hit or miss, it can be difficult to find, and it is often a mismatch for student learning needs. In this study, an innovative multimedia-based intervention, Content Acquisition Podcasts (CAPs) are introduced and described in the context of teacher candidate capacity to create a sample video. CAPs contain a combination of evidence-based instructional design principles and practices for learning vocabulary terms and concepts. Forty master's degree students were taught to create CAPs, which were evaluated for adherence to established design principles and evidence-based instructional practices. Participants completed a satisfaction survey and participated in a focus group regarding their experience. Implications for practitioners and teacher educators are included and discussed.","container-title":"Journal of Special Education Technology","DOI":"10.1177/016264341402900402","ISSN":"0162-6434","issue":"4","journalAbbreviation":"J Spec Educ Technol","language":"en","note":"publisher: SAGE Publications Inc","page":"15-30","source":"SAGE Journals","title":"Creating multimedia-based vignettes with embedded evidence-based practices: a tool for supporting struggling learners","title-short":"Creating multimedia-based vignettes with embedded evidence-based practices","URL":"https://doi.org/10.1177/016264341402900402","volume":"29","author":[{"family":"Kennedy","given":"Michael J."},{"family":"Aronin","given":"Sara"},{"family":"O'Neal","given":"Michael"},{"family":"Newton","given":"Jennifer R."},{"family":"Thomas","given":"Cathy Newman"}],"accessed":{"date-parts":[["2024",10,19]]},"issued":{"date-parts":[["2014",12,1]]},"citation-key":"kennedyCreatingMultimediabasedVignettes2014"}}],"schema":"https://github.com/citation-style-language/schema/raw/master/csl-citation.json"} </w:instrText>
      </w:r>
      <w:r w:rsidR="00C845C3">
        <w:rPr>
          <w:rFonts w:eastAsia="Aptos"/>
          <w:kern w:val="2"/>
          <w:lang w:val="en-US"/>
          <w14:ligatures w14:val="standardContextual"/>
        </w:rPr>
        <w:fldChar w:fldCharType="separate"/>
      </w:r>
      <w:r w:rsidR="006A1732">
        <w:rPr>
          <w:rFonts w:eastAsia="Aptos"/>
          <w:noProof/>
          <w:kern w:val="2"/>
          <w:lang w:val="en-US"/>
          <w14:ligatures w14:val="standardContextual"/>
        </w:rPr>
        <w:t>(Darling-Hammond et al., 2017; Kennedy et al., 2014)</w:t>
      </w:r>
      <w:r w:rsidR="00C845C3">
        <w:rPr>
          <w:rFonts w:eastAsia="Aptos"/>
          <w:kern w:val="2"/>
          <w:lang w:val="en-US"/>
          <w14:ligatures w14:val="standardContextual"/>
        </w:rPr>
        <w:fldChar w:fldCharType="end"/>
      </w:r>
      <w:r w:rsidRPr="003E2A61">
        <w:rPr>
          <w:rFonts w:eastAsia="Aptos"/>
          <w:kern w:val="2"/>
          <w:lang w:val="en-US"/>
          <w14:ligatures w14:val="standardContextual"/>
        </w:rPr>
        <w:t>.</w:t>
      </w:r>
    </w:p>
    <w:p w14:paraId="3742828A" w14:textId="1AD08CF8" w:rsidR="003E2A61" w:rsidRPr="003E2A61" w:rsidRDefault="00266ACE" w:rsidP="003E2A61">
      <w:pPr>
        <w:spacing w:line="480" w:lineRule="auto"/>
        <w:ind w:firstLine="720"/>
        <w:rPr>
          <w:rFonts w:eastAsia="Aptos"/>
          <w:kern w:val="2"/>
          <w:lang w:val="en-US"/>
          <w14:ligatures w14:val="standardContextual"/>
        </w:rPr>
      </w:pPr>
      <w:r>
        <w:rPr>
          <w:rFonts w:eastAsia="Aptos"/>
          <w:kern w:val="2"/>
          <w:lang w:val="en-US"/>
          <w14:ligatures w14:val="standardContextual"/>
        </w:rPr>
        <w:t>Our f</w:t>
      </w:r>
      <w:r w:rsidR="003E2A61" w:rsidRPr="003E2A61">
        <w:rPr>
          <w:rFonts w:eastAsia="Aptos"/>
          <w:kern w:val="2"/>
          <w:lang w:val="en-US"/>
          <w14:ligatures w14:val="standardContextual"/>
        </w:rPr>
        <w:t xml:space="preserve">indings also revealed variability in the inclusion and depth of critical PD elements, such as modeling, collaboration, coaching, or expert support. Studies employing single-session or short-term workshop designs often omitted or superficially addressed these components, while case studies featuring sustained and embedded PD tended to integrate them more (Courduff, 2011; Du &amp; Lyublinskaya, 2022; Hollins, 2017). Additionally, structured opportunities for feedback and reflection were inconsistently implemented, pointing to a notable gap in the literature about reflective practice as part of teacher learning in </w:t>
      </w:r>
      <w:r w:rsidR="009A2CB5">
        <w:rPr>
          <w:rFonts w:eastAsia="Aptos"/>
          <w:kern w:val="2"/>
          <w:lang w:val="en-US"/>
          <w14:ligatures w14:val="standardContextual"/>
        </w:rPr>
        <w:t>ET</w:t>
      </w:r>
      <w:r w:rsidR="003E2A61" w:rsidRPr="003E2A61">
        <w:rPr>
          <w:rFonts w:eastAsia="Aptos"/>
          <w:kern w:val="2"/>
          <w:lang w:val="en-US"/>
          <w14:ligatures w14:val="standardContextual"/>
        </w:rPr>
        <w:t xml:space="preserve"> integration contexts for </w:t>
      </w:r>
      <w:r w:rsidR="003E2A61" w:rsidRPr="003E2A61">
        <w:rPr>
          <w:rFonts w:eastAsia="Aptos"/>
          <w:kern w:val="2"/>
          <w:lang w:val="en-US"/>
          <w14:ligatures w14:val="standardContextual"/>
        </w:rPr>
        <w:lastRenderedPageBreak/>
        <w:t>special educators. Finally, the review highlighted that studies often described various educational technologies (RQ4) used in PD.</w:t>
      </w:r>
    </w:p>
    <w:p w14:paraId="0D96C62C" w14:textId="43419416" w:rsidR="003E2A61" w:rsidRPr="003E2A61" w:rsidRDefault="00E224EA" w:rsidP="003E2A61">
      <w:pPr>
        <w:spacing w:line="480" w:lineRule="auto"/>
        <w:ind w:firstLine="720"/>
        <w:rPr>
          <w:rFonts w:eastAsia="Aptos"/>
          <w:kern w:val="2"/>
          <w:lang w:val="en-US"/>
          <w14:ligatures w14:val="standardContextual"/>
        </w:rPr>
      </w:pPr>
      <w:r>
        <w:rPr>
          <w:rFonts w:eastAsia="Aptos"/>
          <w:kern w:val="2"/>
          <w:lang w:val="en-US"/>
          <w14:ligatures w14:val="standardContextual"/>
        </w:rPr>
        <w:t xml:space="preserve">Our </w:t>
      </w:r>
      <w:r w:rsidR="003E2A61" w:rsidRPr="003E2A61">
        <w:rPr>
          <w:rFonts w:eastAsia="Aptos"/>
          <w:kern w:val="2"/>
          <w:lang w:val="en-US"/>
          <w14:ligatures w14:val="standardContextual"/>
        </w:rPr>
        <w:t>discussion is organized around the four research questions guiding this review. For each research question, key findings are summarized, and implications for future research and practical application are articulated. Limitations of this review are then discussed, and the section concludes with an integrative summary of key contributions to the existing literature.</w:t>
      </w:r>
    </w:p>
    <w:p w14:paraId="6C3D37E2" w14:textId="77777777" w:rsidR="003E2A61" w:rsidRPr="003E2A61" w:rsidRDefault="003E2A61" w:rsidP="003E2A61">
      <w:pPr>
        <w:spacing w:line="480" w:lineRule="auto"/>
        <w:outlineLvl w:val="1"/>
        <w:rPr>
          <w:rFonts w:eastAsia="Aptos"/>
          <w:b/>
          <w:bCs/>
          <w:kern w:val="2"/>
          <w:lang w:val="en-US"/>
          <w14:ligatures w14:val="standardContextual"/>
        </w:rPr>
      </w:pPr>
      <w:r w:rsidRPr="003E2A61">
        <w:rPr>
          <w:rFonts w:eastAsia="Aptos"/>
          <w:b/>
          <w:bCs/>
          <w:kern w:val="2"/>
          <w:lang w:val="en-US"/>
          <w14:ligatures w14:val="standardContextual"/>
        </w:rPr>
        <w:t>RQ1: Participant Characteristics</w:t>
      </w:r>
    </w:p>
    <w:p w14:paraId="0395D842" w14:textId="34A3682A"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The characteristics of participating special education teachers were reported with varying degrees of detail and consistency. Most studies provided basic demographic information, focusing on teachers’ professional roles (e.g., special education teachers, resource specialists, inclusion teachers) and the disability categories they served. Teachers mostly worked with students experiencing high-incidence disabilities such as learning disabilities, autism spectrum disorder, or emotional and behavioral disorders (Courduff, 2011; Du &amp; Lyublinskaya, 2022; Weiss et al., 2016).</w:t>
      </w:r>
      <w:r w:rsidR="00D8569E">
        <w:rPr>
          <w:rFonts w:eastAsia="Aptos"/>
          <w:kern w:val="2"/>
          <w:lang w:val="en-US"/>
          <w14:ligatures w14:val="standardContextual"/>
        </w:rPr>
        <w:t xml:space="preserve"> From th</w:t>
      </w:r>
      <w:r w:rsidR="00B536F5">
        <w:rPr>
          <w:rFonts w:eastAsia="Aptos"/>
          <w:kern w:val="2"/>
          <w:lang w:val="en-US"/>
          <w14:ligatures w14:val="standardContextual"/>
        </w:rPr>
        <w:t>e records reviewe</w:t>
      </w:r>
      <w:r w:rsidR="006466B2">
        <w:rPr>
          <w:rFonts w:eastAsia="Aptos"/>
          <w:kern w:val="2"/>
          <w:lang w:val="en-US"/>
          <w14:ligatures w14:val="standardContextual"/>
        </w:rPr>
        <w:t>d</w:t>
      </w:r>
      <w:r w:rsidR="00B536F5">
        <w:rPr>
          <w:rFonts w:eastAsia="Aptos"/>
          <w:kern w:val="2"/>
          <w:lang w:val="en-US"/>
          <w14:ligatures w14:val="standardContextual"/>
        </w:rPr>
        <w:t xml:space="preserve">, this </w:t>
      </w:r>
      <w:r w:rsidR="00667367">
        <w:rPr>
          <w:rFonts w:eastAsia="Aptos"/>
          <w:kern w:val="2"/>
          <w:lang w:val="en-US"/>
          <w14:ligatures w14:val="standardContextual"/>
        </w:rPr>
        <w:t>leaves</w:t>
      </w:r>
      <w:r w:rsidR="00B536F5">
        <w:rPr>
          <w:rFonts w:eastAsia="Aptos"/>
          <w:kern w:val="2"/>
          <w:lang w:val="en-US"/>
          <w14:ligatures w14:val="standardContextual"/>
        </w:rPr>
        <w:t xml:space="preserve"> a gap in the literature among </w:t>
      </w:r>
      <w:r w:rsidR="00667367">
        <w:rPr>
          <w:rFonts w:eastAsia="Aptos"/>
          <w:kern w:val="2"/>
          <w:lang w:val="en-US"/>
          <w14:ligatures w14:val="standardContextual"/>
        </w:rPr>
        <w:t>students with low</w:t>
      </w:r>
      <w:r w:rsidR="006466B2">
        <w:rPr>
          <w:rFonts w:eastAsia="Aptos"/>
          <w:kern w:val="2"/>
          <w:lang w:val="en-US"/>
          <w14:ligatures w14:val="standardContextual"/>
        </w:rPr>
        <w:t>-</w:t>
      </w:r>
      <w:r w:rsidR="00667367">
        <w:rPr>
          <w:rFonts w:eastAsia="Aptos"/>
          <w:kern w:val="2"/>
          <w:lang w:val="en-US"/>
          <w14:ligatures w14:val="standardContextual"/>
        </w:rPr>
        <w:t>incidence disabilities.</w:t>
      </w:r>
    </w:p>
    <w:p w14:paraId="269618E5" w14:textId="48C1526C" w:rsidR="003E2A61" w:rsidRPr="003E2A61" w:rsidRDefault="00667367" w:rsidP="003E2A61">
      <w:pPr>
        <w:spacing w:line="480" w:lineRule="auto"/>
        <w:ind w:firstLine="720"/>
        <w:rPr>
          <w:rFonts w:eastAsia="Aptos"/>
          <w:kern w:val="2"/>
          <w:lang w:val="en-US"/>
          <w14:ligatures w14:val="standardContextual"/>
        </w:rPr>
      </w:pPr>
      <w:r>
        <w:rPr>
          <w:rFonts w:eastAsia="Aptos"/>
          <w:kern w:val="2"/>
          <w:lang w:val="en-US"/>
          <w14:ligatures w14:val="standardContextual"/>
        </w:rPr>
        <w:t>S</w:t>
      </w:r>
      <w:r w:rsidR="00222AB5">
        <w:rPr>
          <w:rFonts w:eastAsia="Aptos"/>
          <w:kern w:val="2"/>
          <w:lang w:val="en-US"/>
          <w14:ligatures w14:val="standardContextual"/>
        </w:rPr>
        <w:t>tudy authors</w:t>
      </w:r>
      <w:r w:rsidR="003E2A61" w:rsidRPr="003E2A61">
        <w:rPr>
          <w:rFonts w:eastAsia="Aptos"/>
          <w:kern w:val="2"/>
          <w:lang w:val="en-US"/>
          <w14:ligatures w14:val="standardContextual"/>
        </w:rPr>
        <w:t xml:space="preserve"> less often provided comprehensive information </w:t>
      </w:r>
      <w:r w:rsidR="00222AB5" w:rsidRPr="003E2A61">
        <w:rPr>
          <w:rFonts w:eastAsia="Aptos"/>
          <w:kern w:val="2"/>
          <w:lang w:val="en-US"/>
          <w14:ligatures w14:val="standardContextual"/>
        </w:rPr>
        <w:t>on</w:t>
      </w:r>
      <w:r w:rsidR="003E2A61" w:rsidRPr="003E2A61">
        <w:rPr>
          <w:rFonts w:eastAsia="Aptos"/>
          <w:kern w:val="2"/>
          <w:lang w:val="en-US"/>
          <w14:ligatures w14:val="standardContextual"/>
        </w:rPr>
        <w:t xml:space="preserve"> demographic or </w:t>
      </w:r>
      <w:r w:rsidRPr="003E2A61">
        <w:rPr>
          <w:rFonts w:eastAsia="Aptos"/>
          <w:kern w:val="2"/>
          <w:lang w:val="en-US"/>
          <w14:ligatures w14:val="standardContextual"/>
        </w:rPr>
        <w:t xml:space="preserve">added </w:t>
      </w:r>
      <w:r w:rsidR="003E2A61" w:rsidRPr="003E2A61">
        <w:rPr>
          <w:rFonts w:eastAsia="Aptos"/>
          <w:kern w:val="2"/>
          <w:lang w:val="en-US"/>
          <w14:ligatures w14:val="standardContextual"/>
        </w:rPr>
        <w:t xml:space="preserve">professional details that might influence teachers’ experiences of and responses to </w:t>
      </w:r>
      <w:r w:rsidR="00CB66A8">
        <w:rPr>
          <w:rFonts w:eastAsia="Aptos"/>
          <w:kern w:val="2"/>
          <w:lang w:val="en-US"/>
          <w14:ligatures w14:val="standardContextual"/>
        </w:rPr>
        <w:t>PD</w:t>
      </w:r>
      <w:r w:rsidR="003E2A61" w:rsidRPr="003E2A61">
        <w:rPr>
          <w:rFonts w:eastAsia="Aptos"/>
          <w:kern w:val="2"/>
          <w:lang w:val="en-US"/>
          <w14:ligatures w14:val="standardContextual"/>
        </w:rPr>
        <w:t xml:space="preserve">. Variables such as years of teaching experience, prior training in technology integration, cultural and linguistic backgrounds, and educational attainment were rarely reported. Teacher </w:t>
      </w:r>
      <w:r w:rsidR="004E3DE4">
        <w:rPr>
          <w:rFonts w:eastAsia="Aptos"/>
          <w:kern w:val="2"/>
          <w:lang w:val="en-US"/>
          <w14:ligatures w14:val="standardContextual"/>
        </w:rPr>
        <w:t xml:space="preserve">personal and professional </w:t>
      </w:r>
      <w:r w:rsidR="003E2A61" w:rsidRPr="003E2A61">
        <w:rPr>
          <w:rFonts w:eastAsia="Aptos"/>
          <w:kern w:val="2"/>
          <w:lang w:val="en-US"/>
          <w14:ligatures w14:val="standardContextual"/>
        </w:rPr>
        <w:t>identities may play a critical role in understanding how PD is experienced, implemented, and sustaine</w:t>
      </w:r>
      <w:r w:rsidR="004B481B">
        <w:rPr>
          <w:rFonts w:eastAsia="Aptos"/>
          <w:kern w:val="2"/>
          <w:lang w:val="en-US"/>
          <w14:ligatures w14:val="standardContextual"/>
        </w:rPr>
        <w:t xml:space="preserve">d </w:t>
      </w:r>
      <w:r w:rsidR="005B2D3B">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{"citationID":"uZrxiMk4","properties":{"formattedCitation":"(Lovett, 2023; Noonan, 2019)","plainCitation":"(Lovett, 2023; Noonan, 2019)","noteIndex":0},"citationItems":[{"id":17420,"uris":["http://zotero.org/users/15409160/items/5QGFR7KH"],"itemData":{"id":17420,"type":"book","edition":"2nd ed","event-place":"Newark","ISBN":"978-1-119-86169-0","language":"eng","number-of-pages":"1","publisher":"John Wiley &amp; Sons, Incorporated","publisher-place":"Newark","source":"K10plus ISBN","title":"How learning works: Eight research-based principles for smart teaching","title-short":"How learning works","author":[{"family":"Lovett","given":"Marsha C."}],"contributor":[{"family":"Bridges","given":"Michael W."},{"family":"DiPietro","given":"Michele"},{"family":"Ambrose","given":"Susan A."},{"family":"Norman","given":"Marie K."}],"issued":{"date-parts":[["2023"]]},"citation-key":"lovettHowLearningWorks2023"}},{"id":17643,"uris":["http://zotero.org/users/15409160/items/HVVNARTT"],"itemData":{"id":17643,"type":"article-journal","abstract":"Drawing on interviews with a diverse sample of teachers, this study uses the frame of professional identity to interpret the heterogeneity among teachers’ perceptions of professional development. Specifically, it examines how teachers’ “anchoring beliefs” might be reflected in or refracted by their accounts of powerful professional learning. An analysis of three case studies of teacher identity and teacher learning reveals three distinct “learning affinities”: for the what (content), the who (facilitation), and the with whom (community). This learning affinity framework may better model teachers’ experiences of professional development and thus could point the way toward improved research and design.","container-title":"Journal of Teacher Education","DOI":"10.1177/0022487118788838","ISSN":"0022-4871, 1552-7816","issue":"5","language":"en","license":"https://journals.sagepub.com/page/policies/text-and-data-mining-license","note":"publisher: SAGE Publications","page":"526-537","source":"Crossref","title":"An affinity for learning: Teacher identity and powerful professional development","title-short":"An affinity for learning","URL":"https://journals.sagepub.com/doi/10.1177/0022487118788838","volume":"70","author":[{"family":"Noonan","given":"James"}],"accessed":{"date-parts":[["2025",5,22]]},"issued":{"date-parts":[["2019",11]]},"citation-key":"noonanAffinityLearningTeacher2019"}}],"schema":"https://github.com/citation-style-language/schema/raw/master/csl-citation.json"} </w:instrText>
      </w:r>
      <w:r w:rsidR="005B2D3B">
        <w:rPr>
          <w:rFonts w:eastAsia="Aptos"/>
          <w:kern w:val="2"/>
          <w:lang w:val="en-US"/>
          <w14:ligatures w14:val="standardContextual"/>
        </w:rPr>
        <w:fldChar w:fldCharType="separate"/>
      </w:r>
      <w:r w:rsidR="000D7B6A">
        <w:rPr>
          <w:rFonts w:eastAsia="Aptos"/>
          <w:noProof/>
          <w:kern w:val="2"/>
          <w:lang w:val="en-US"/>
          <w14:ligatures w14:val="standardContextual"/>
        </w:rPr>
        <w:t>(Lovett, 2023; Noonan, 2019)</w:t>
      </w:r>
      <w:r w:rsidR="005B2D3B">
        <w:rPr>
          <w:rFonts w:eastAsia="Aptos"/>
          <w:kern w:val="2"/>
          <w:lang w:val="en-US"/>
          <w14:ligatures w14:val="standardContextual"/>
        </w:rPr>
        <w:fldChar w:fldCharType="end"/>
      </w:r>
      <w:r w:rsidR="00277BF8">
        <w:rPr>
          <w:rFonts w:eastAsia="Aptos"/>
          <w:kern w:val="2"/>
          <w:lang w:val="en-US"/>
          <w14:ligatures w14:val="standardContextual"/>
        </w:rPr>
        <w:t>.</w:t>
      </w:r>
    </w:p>
    <w:p w14:paraId="6745D684"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Research</w:t>
      </w:r>
    </w:p>
    <w:p w14:paraId="15ADB9A2" w14:textId="4D667C3A" w:rsidR="008960EB"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lastRenderedPageBreak/>
        <w:t xml:space="preserve">Future </w:t>
      </w:r>
      <w:r w:rsidR="00667367">
        <w:rPr>
          <w:rFonts w:eastAsia="Aptos"/>
          <w:kern w:val="2"/>
          <w:lang w:val="en-US"/>
          <w14:ligatures w14:val="standardContextual"/>
        </w:rPr>
        <w:t>research</w:t>
      </w:r>
      <w:r w:rsidRPr="003E2A61">
        <w:rPr>
          <w:rFonts w:eastAsia="Aptos"/>
          <w:kern w:val="2"/>
          <w:lang w:val="en-US"/>
          <w14:ligatures w14:val="standardContextual"/>
        </w:rPr>
        <w:t xml:space="preserve"> should prioritize detailed reporting of participant demographics beyond fundamental professional roles and student populations. Specifically, research should systematically document variables including teacher experience levels, certification areas, prior PD exposure, and demographic backgrounds such as race</w:t>
      </w:r>
      <w:r w:rsidR="000D7B6A">
        <w:rPr>
          <w:rFonts w:eastAsia="Aptos"/>
          <w:kern w:val="2"/>
          <w:lang w:val="en-US"/>
          <w14:ligatures w14:val="standardContextual"/>
        </w:rPr>
        <w:t xml:space="preserve"> and</w:t>
      </w:r>
      <w:r w:rsidRPr="003E2A61">
        <w:rPr>
          <w:rFonts w:eastAsia="Aptos"/>
          <w:kern w:val="2"/>
          <w:lang w:val="en-US"/>
          <w14:ligatures w14:val="standardContextual"/>
        </w:rPr>
        <w:t xml:space="preserve"> ethnicity. Such detailed reporting will enable more nuanced analyses of how teacher characteristics influence responsiveness to PD and </w:t>
      </w:r>
      <w:r w:rsidR="00667367">
        <w:rPr>
          <w:rFonts w:eastAsia="Aptos"/>
          <w:kern w:val="2"/>
          <w:lang w:val="en-US"/>
          <w14:ligatures w14:val="standardContextual"/>
        </w:rPr>
        <w:t>continued</w:t>
      </w:r>
      <w:r w:rsidRPr="003E2A61">
        <w:rPr>
          <w:rFonts w:eastAsia="Aptos"/>
          <w:kern w:val="2"/>
          <w:lang w:val="en-US"/>
          <w14:ligatures w14:val="standardContextual"/>
        </w:rPr>
        <w:t xml:space="preserve"> classroom implementation</w:t>
      </w:r>
      <w:r w:rsidR="002943CA">
        <w:rPr>
          <w:rFonts w:eastAsia="Aptos"/>
          <w:kern w:val="2"/>
          <w:lang w:val="en-US"/>
          <w14:ligatures w14:val="standardContextual"/>
        </w:rPr>
        <w:t xml:space="preserve"> </w:t>
      </w:r>
      <w:r w:rsidR="004C75AF">
        <w:rPr>
          <w:rFonts w:eastAsia="Aptos"/>
          <w:kern w:val="2"/>
          <w:lang w:val="en-US"/>
          <w14:ligatures w14:val="standardContextual"/>
        </w:rPr>
        <w:fldChar w:fldCharType="begin"/>
      </w:r>
      <w:r w:rsidR="004C75AF">
        <w:rPr>
          <w:rFonts w:eastAsia="Aptos"/>
          <w:kern w:val="2"/>
          <w:lang w:val="en-US"/>
          <w14:ligatures w14:val="standardContextual"/>
        </w:rPr>
        <w:instrText xml:space="preserve"> ADDIN ZOTERO_ITEM CSL_CITATION {"citationID":"OXcOJKv4","properties":{"formattedCitation":"(Imants &amp; Van Der Wal, 2020)","plainCitation":"(Imants &amp; Van Der Wal, 2020)","noteIndex":0},"citationItems":[{"id":17602,"uris":["http://zotero.org/users/15409160/items/58ENWI4Q"],"itemData":{"id":17602,"type":"article-journal","abstract":"In research on teacher professional development and school reform attention for the role of teacher agency has been growing signiﬁcantly during the last decade. The objective of this study is to create a model with the potential to view professional development and school reform from a teacher agency perspective at multiple levels.","container-title":"Journal of Curriculum Studies","DOI":"10.1080/00220272.2019.1604809","ISSN":"0022-0272, 1366-5839","issue":"1","language":"en","license":"http://creativecommons.org/licenses/by-nc-nd/4.0/","note":"publisher: Informa UK Limited","page":"1-14","source":"Crossref","title":"A model of teacher agency in professional development and school reform","URL":"https://www.tandfonline.com/doi/full/10.1080/00220272.2019.1604809","volume":"52","author":[{"family":"Imants","given":"Jeroen"},{"family":"Van Der Wal","given":"Merel M."}],"accessed":{"date-parts":[["2025",5,22]]},"issued":{"date-parts":[["2020",1,2]]},"citation-key":"imantsModelTeacherAgency2020"}}],"schema":"https://github.com/citation-style-language/schema/raw/master/csl-citation.json"} </w:instrText>
      </w:r>
      <w:r w:rsidR="004C75AF">
        <w:rPr>
          <w:rFonts w:eastAsia="Aptos"/>
          <w:kern w:val="2"/>
          <w:lang w:val="en-US"/>
          <w14:ligatures w14:val="standardContextual"/>
        </w:rPr>
        <w:fldChar w:fldCharType="separate"/>
      </w:r>
      <w:r w:rsidR="004C75AF">
        <w:rPr>
          <w:rFonts w:eastAsia="Aptos"/>
          <w:noProof/>
          <w:kern w:val="2"/>
          <w:lang w:val="en-US"/>
          <w14:ligatures w14:val="standardContextual"/>
        </w:rPr>
        <w:t>(Imants &amp; Van Der Wal, 2020)</w:t>
      </w:r>
      <w:r w:rsidR="004C75AF">
        <w:rPr>
          <w:rFonts w:eastAsia="Aptos"/>
          <w:kern w:val="2"/>
          <w:lang w:val="en-US"/>
          <w14:ligatures w14:val="standardContextual"/>
        </w:rPr>
        <w:fldChar w:fldCharType="end"/>
      </w:r>
      <w:r w:rsidRPr="003E2A61">
        <w:rPr>
          <w:rFonts w:eastAsia="Aptos"/>
          <w:kern w:val="2"/>
          <w:lang w:val="en-US"/>
          <w14:ligatures w14:val="standardContextual"/>
        </w:rPr>
        <w:t>. Research</w:t>
      </w:r>
      <w:r w:rsidR="00801E25">
        <w:rPr>
          <w:rFonts w:eastAsia="Aptos"/>
          <w:kern w:val="2"/>
          <w:lang w:val="en-US"/>
          <w14:ligatures w14:val="standardContextual"/>
        </w:rPr>
        <w:t>ers</w:t>
      </w:r>
      <w:r w:rsidRPr="003E2A61">
        <w:rPr>
          <w:rFonts w:eastAsia="Aptos"/>
          <w:kern w:val="2"/>
          <w:lang w:val="en-US"/>
          <w14:ligatures w14:val="standardContextual"/>
        </w:rPr>
        <w:t xml:space="preserve"> might also further explore interactions between teacher demographics and PD outcomes, examining whether specific subgroups benefit more</w:t>
      </w:r>
      <w:r w:rsidR="002943CA">
        <w:rPr>
          <w:rFonts w:eastAsia="Aptos"/>
          <w:kern w:val="2"/>
          <w:lang w:val="en-US"/>
          <w14:ligatures w14:val="standardContextual"/>
        </w:rPr>
        <w:t xml:space="preserve"> or feel as if they have more agency than others</w:t>
      </w:r>
      <w:r w:rsidRPr="003E2A61">
        <w:rPr>
          <w:rFonts w:eastAsia="Aptos"/>
          <w:kern w:val="2"/>
          <w:lang w:val="en-US"/>
          <w14:ligatures w14:val="standardContextual"/>
        </w:rPr>
        <w:t xml:space="preserve"> </w:t>
      </w:r>
      <w:r w:rsidR="004C75AF">
        <w:rPr>
          <w:rFonts w:eastAsia="Aptos"/>
          <w:kern w:val="2"/>
          <w:lang w:val="en-US"/>
          <w14:ligatures w14:val="standardContextual"/>
        </w:rPr>
        <w:t>within</w:t>
      </w:r>
      <w:r w:rsidRPr="003E2A61">
        <w:rPr>
          <w:rFonts w:eastAsia="Aptos"/>
          <w:kern w:val="2"/>
          <w:lang w:val="en-US"/>
          <w14:ligatures w14:val="standardContextual"/>
        </w:rPr>
        <w:t xml:space="preserve"> PD designs or elements.</w:t>
      </w:r>
      <w:r w:rsidR="006A3F77">
        <w:rPr>
          <w:rFonts w:eastAsia="Aptos"/>
          <w:kern w:val="2"/>
          <w:lang w:val="en-US"/>
          <w14:ligatures w14:val="standardContextual"/>
        </w:rPr>
        <w:t xml:space="preserve"> </w:t>
      </w:r>
      <w:r w:rsidR="008960EB">
        <w:rPr>
          <w:rFonts w:eastAsia="Aptos"/>
          <w:kern w:val="2"/>
          <w:lang w:val="en-US"/>
          <w14:ligatures w14:val="standardContextual"/>
        </w:rPr>
        <w:t xml:space="preserve">Further research may also be needed in </w:t>
      </w:r>
      <w:r w:rsidR="008A4C1A">
        <w:rPr>
          <w:rFonts w:eastAsia="Aptos"/>
          <w:kern w:val="2"/>
          <w:lang w:val="en-US"/>
          <w14:ligatures w14:val="standardContextual"/>
        </w:rPr>
        <w:t xml:space="preserve">utilizing PD to improve special educator </w:t>
      </w:r>
      <w:r w:rsidR="006A3F77">
        <w:rPr>
          <w:rFonts w:eastAsia="Aptos"/>
          <w:kern w:val="2"/>
          <w:lang w:val="en-US"/>
          <w14:ligatures w14:val="standardContextual"/>
        </w:rPr>
        <w:t>implementation</w:t>
      </w:r>
      <w:r w:rsidR="008A4C1A">
        <w:rPr>
          <w:rFonts w:eastAsia="Aptos"/>
          <w:kern w:val="2"/>
          <w:lang w:val="en-US"/>
          <w14:ligatures w14:val="standardContextual"/>
        </w:rPr>
        <w:t xml:space="preserve"> of ET with students with low incidence </w:t>
      </w:r>
      <w:r w:rsidR="006A3F77">
        <w:rPr>
          <w:rFonts w:eastAsia="Aptos"/>
          <w:kern w:val="2"/>
          <w:lang w:val="en-US"/>
          <w14:ligatures w14:val="standardContextual"/>
        </w:rPr>
        <w:t xml:space="preserve">disabilities, </w:t>
      </w:r>
      <w:r w:rsidR="006B2759">
        <w:rPr>
          <w:rFonts w:eastAsia="Aptos"/>
          <w:kern w:val="2"/>
          <w:lang w:val="en-US"/>
          <w14:ligatures w14:val="standardContextual"/>
        </w:rPr>
        <w:t>consistent</w:t>
      </w:r>
      <w:r w:rsidR="006A3F77">
        <w:rPr>
          <w:rFonts w:eastAsia="Aptos"/>
          <w:kern w:val="2"/>
          <w:lang w:val="en-US"/>
          <w14:ligatures w14:val="standardContextual"/>
        </w:rPr>
        <w:t xml:space="preserve"> with the findings in</w:t>
      </w:r>
      <w:r w:rsidR="006B2759">
        <w:rPr>
          <w:rFonts w:eastAsia="Aptos"/>
          <w:kern w:val="2"/>
          <w:lang w:val="en-US"/>
          <w14:ligatures w14:val="standardContextual"/>
        </w:rPr>
        <w:t xml:space="preserve"> a recent review of the literature on current uses of technology among special education </w:t>
      </w:r>
      <w:r w:rsidR="006B2759">
        <w:rPr>
          <w:rFonts w:eastAsia="Aptos"/>
          <w:kern w:val="2"/>
          <w:lang w:val="en-US"/>
          <w14:ligatures w14:val="standardContextual"/>
        </w:rPr>
        <w:fldChar w:fldCharType="begin"/>
      </w:r>
      <w:r w:rsidR="006B2759">
        <w:rPr>
          <w:rFonts w:eastAsia="Aptos"/>
          <w:kern w:val="2"/>
          <w:lang w:val="en-US"/>
          <w14:ligatures w14:val="standardContextual"/>
        </w:rPr>
        <w:instrText xml:space="preserve"> ADDIN ZOTERO_ITEM CSL_CITATION {"citationID":"lojkEyaH","properties":{"formattedCitation":"(Olakanmi et al., 2020)","plainCitation":"(Olakanmi et al., 2020)","noteIndex":0},"citationItems":[{"id":17697,"uris":["http://zotero.org/users/15409160/items/HA28QHTY"],"itemData":{"id":17697,"type":"article-journal","container-title":"Educational Technology Research and Development","DOI":"10.1007/s11423-020-09795-0","ISSN":"1042-1629, 1556-6501","issue":"4","journalAbbreviation":"Education Tech Research Dev","language":"en","license":"https://www.springer.com/tdm","note":"publisher: Springer Science and Business Media LLC","page":"1711-1738","source":"Crossref","title":"Using technology in special education: current practices and trends","title-short":"Using technology in special education","URL":"https://link.springer.com/10.1007/s11423-020-09795-0","volume":"68","author":[{"family":"Olakanmi","given":"Oluwabunmi Adewoyin"},{"family":"Akcayir","given":"Gokce"},{"family":"Ishola","given":"Oluwbukola Mayowa"},{"family":"Demmans Epp","given":"Carrie"}],"accessed":{"date-parts":[["2025",5,22]]},"issued":{"date-parts":[["2020",8]]},"citation-key":"olakanmiUsingTechnologySpecial2020"}}],"schema":"https://github.com/citation-style-language/schema/raw/master/csl-citation.json"} </w:instrText>
      </w:r>
      <w:r w:rsidR="006B2759">
        <w:rPr>
          <w:rFonts w:eastAsia="Aptos"/>
          <w:kern w:val="2"/>
          <w:lang w:val="en-US"/>
          <w14:ligatures w14:val="standardContextual"/>
        </w:rPr>
        <w:fldChar w:fldCharType="separate"/>
      </w:r>
      <w:r w:rsidR="006B2759">
        <w:rPr>
          <w:rFonts w:eastAsia="Aptos"/>
          <w:noProof/>
          <w:kern w:val="2"/>
          <w:lang w:val="en-US"/>
          <w14:ligatures w14:val="standardContextual"/>
        </w:rPr>
        <w:t>(Olakanmi et al., 2020)</w:t>
      </w:r>
      <w:r w:rsidR="006B2759">
        <w:rPr>
          <w:rFonts w:eastAsia="Aptos"/>
          <w:kern w:val="2"/>
          <w:lang w:val="en-US"/>
          <w14:ligatures w14:val="standardContextual"/>
        </w:rPr>
        <w:fldChar w:fldCharType="end"/>
      </w:r>
      <w:r w:rsidR="006B2759">
        <w:rPr>
          <w:rFonts w:eastAsia="Aptos"/>
          <w:kern w:val="2"/>
          <w:lang w:val="en-US"/>
          <w14:ligatures w14:val="standardContextual"/>
        </w:rPr>
        <w:t>.</w:t>
      </w:r>
      <w:r w:rsidR="008A4C1A">
        <w:rPr>
          <w:rFonts w:eastAsia="Aptos"/>
          <w:kern w:val="2"/>
          <w:lang w:val="en-US"/>
          <w14:ligatures w14:val="standardContextual"/>
        </w:rPr>
        <w:t xml:space="preserve"> </w:t>
      </w:r>
    </w:p>
    <w:p w14:paraId="1F59A26B"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Practice</w:t>
      </w:r>
    </w:p>
    <w:p w14:paraId="072F7C62" w14:textId="77777777" w:rsidR="007E0BF1" w:rsidRDefault="00CB66A8" w:rsidP="003E2A61">
      <w:pPr>
        <w:spacing w:line="480" w:lineRule="auto"/>
        <w:ind w:firstLine="720"/>
        <w:rPr>
          <w:rFonts w:eastAsia="Aptos"/>
          <w:kern w:val="2"/>
          <w:lang w:val="en-US"/>
          <w14:ligatures w14:val="standardContextual"/>
        </w:rPr>
      </w:pPr>
      <w:r>
        <w:rPr>
          <w:rFonts w:eastAsia="Aptos"/>
          <w:kern w:val="2"/>
          <w:lang w:val="en-US"/>
          <w14:ligatures w14:val="standardContextual"/>
        </w:rPr>
        <w:t>PD</w:t>
      </w:r>
      <w:r w:rsidR="003E2A61" w:rsidRPr="003E2A61">
        <w:rPr>
          <w:rFonts w:eastAsia="Aptos"/>
          <w:kern w:val="2"/>
          <w:lang w:val="en-US"/>
          <w14:ligatures w14:val="standardContextual"/>
        </w:rPr>
        <w:t xml:space="preserve"> providers and school leaders should consider the potential benefits of tailoring PD offerings based on the needs of different teacher demographics and characteristics. </w:t>
      </w:r>
      <w:r w:rsidR="004C75AF">
        <w:rPr>
          <w:rFonts w:eastAsia="Aptos"/>
          <w:kern w:val="2"/>
          <w:lang w:val="en-US"/>
          <w14:ligatures w14:val="standardContextual"/>
        </w:rPr>
        <w:fldChar w:fldCharType="begin"/>
      </w:r>
      <w:r w:rsidR="00D662DB">
        <w:rPr>
          <w:rFonts w:eastAsia="Aptos"/>
          <w:kern w:val="2"/>
          <w:lang w:val="en-US"/>
          <w14:ligatures w14:val="standardContextual"/>
        </w:rPr>
        <w:instrText xml:space="preserve"> ADDIN ZOTERO_ITEM CSL_CITATION {"citationID":"1VSTwOlz","properties":{"formattedCitation":"(Hayes et al., 2024; Imants &amp; Van Der Wal, 2020)","plainCitation":"(Hayes et al., 2024; Imants &amp; Van Der Wal, 2020)","noteIndex":0},"citationItems":[{"id":17429,"uris":["http://zotero.org/users/15409160/items/H97UU6FK"],"itemData":{"id":17429,"type":"article-journal","abstract":"Professional development providers often struggle with how some teachers take up and internalise new instructional practices while others have difficulty implementing new ideas and strategies. Teacher personal characteristics account for only part of this differentiation in learning, and there are unanswered questions regarding how organisational conditions shape teacher learning in professional development (PD). To address these questions, we examined U.S. elementary teachers’ learning and change in a science professional development project. We expected to find that, in addition to personal characteristics, teacher change would be differentiated by the type and number of constraints within the organisational environment. Instead, we found that teacher change was differentiated by teachers’ ability to draw on areas of alignment and iterative learning as resources to resist anti-science and teacher-centred aspects of the organisational environment. These resources were generated through coherence between the PD, teacher pedagogical beliefs, and existing instructional routines, as well as observing student learning while trying out PD strategies.","container-title":"Professional Development in Education","DOI":"10.1080/19415257.2023.2283433","ISSN":"1941-5257","issue":"1","note":"publisher: Routledge\n_eprint: https://doi.org/10.1080/19415257.2023.2283433","page":"108-128","source":"Taylor and Francis+NEJM","title":"Why does teacher learning vary in professional development? Accounting for organisational conditions","title-short":"Why does teacher learning vary in professional development?","URL":"https://doi.org/10.1080/19415257.2023.2283433","volume":"50","author":[{"family":"Hayes","given":"Kathryn N."},{"family":"","given":"Preminger ,Linda"},{"family":"Bae","given":"Christine L.","non-dropping-particle":"and"}],"accessed":{"date-parts":[["2025",5,21]]},"issued":{"date-parts":[["2024",1,2]]},"citation-key":"hayesWhyDoesTeacher2024"}},{"id":17602,"uris":["http://zotero.org/users/15409160/items/58ENWI4Q"],"itemData":{"id":17602,"type":"article-journal","abstract":"In research on teacher professional development and school reform attention for the role of teacher agency has been growing signiﬁcantly during the last decade. The objective of this study is to create a model with the potential to view professional development and school reform from a teacher agency perspective at multiple levels.","container-title":"Journal of Curriculum Studies","DOI":"10.1080/00220272.2019.1604809","ISSN":"0022-0272, 1366-5839","issue":"1","language":"en","license":"http://creativecommons.org/licenses/by-nc-nd/4.0/","note":"publisher: Informa UK Limited","page":"1-14","source":"Crossref","title":"A model of teacher agency in professional development and school reform","URL":"https://www.tandfonline.com/doi/full/10.1080/00220272.2019.1604809","volume":"52","author":[{"family":"Imants","given":"Jeroen"},{"family":"Van Der Wal","given":"Merel M."}],"accessed":{"date-parts":[["2025",5,22]]},"issued":{"date-parts":[["2020",1,2]]},"citation-key":"imantsModelTeacherAgency2020"}}],"schema":"https://github.com/citation-style-language/schema/raw/master/csl-citation.json"} </w:instrText>
      </w:r>
      <w:r w:rsidR="004C75AF">
        <w:rPr>
          <w:rFonts w:eastAsia="Aptos"/>
          <w:kern w:val="2"/>
          <w:lang w:val="en-US"/>
          <w14:ligatures w14:val="standardContextual"/>
        </w:rPr>
        <w:fldChar w:fldCharType="separate"/>
      </w:r>
      <w:r w:rsidR="00D662DB">
        <w:rPr>
          <w:rFonts w:eastAsia="Aptos"/>
          <w:noProof/>
          <w:kern w:val="2"/>
          <w:lang w:val="en-US"/>
          <w14:ligatures w14:val="standardContextual"/>
        </w:rPr>
        <w:t>(Hayes et al., 2024; Imants &amp; Van Der Wal, 2020)</w:t>
      </w:r>
      <w:r w:rsidR="004C75AF">
        <w:rPr>
          <w:rFonts w:eastAsia="Aptos"/>
          <w:kern w:val="2"/>
          <w:lang w:val="en-US"/>
          <w14:ligatures w14:val="standardContextual"/>
        </w:rPr>
        <w:fldChar w:fldCharType="end"/>
      </w:r>
      <w:r w:rsidR="00D662DB">
        <w:rPr>
          <w:rFonts w:eastAsia="Aptos"/>
          <w:kern w:val="2"/>
          <w:lang w:val="en-US"/>
          <w14:ligatures w14:val="standardContextual"/>
        </w:rPr>
        <w:t xml:space="preserve">. </w:t>
      </w:r>
      <w:bookmarkStart w:id="16" w:name="_Hlk198729371"/>
      <w:r w:rsidR="003E2A61" w:rsidRPr="003E2A61">
        <w:rPr>
          <w:rFonts w:eastAsia="Aptos"/>
          <w:kern w:val="2"/>
          <w:lang w:val="en-US"/>
          <w14:ligatures w14:val="standardContextual"/>
        </w:rPr>
        <w:t xml:space="preserve">Recognizing teacher experience, expertise, and prior training variations can help to </w:t>
      </w:r>
      <w:r w:rsidR="00D662DB" w:rsidRPr="003E2A61">
        <w:rPr>
          <w:rFonts w:eastAsia="Aptos"/>
          <w:kern w:val="2"/>
          <w:lang w:val="en-US"/>
          <w14:ligatures w14:val="standardContextual"/>
        </w:rPr>
        <w:t>confirm</w:t>
      </w:r>
      <w:r w:rsidR="003E2A61" w:rsidRPr="003E2A61">
        <w:rPr>
          <w:rFonts w:eastAsia="Aptos"/>
          <w:kern w:val="2"/>
          <w:lang w:val="en-US"/>
          <w14:ligatures w14:val="standardContextual"/>
        </w:rPr>
        <w:t xml:space="preserve"> participants and inform differentiated PD models. </w:t>
      </w:r>
      <w:bookmarkEnd w:id="16"/>
      <w:r w:rsidR="003E2A61" w:rsidRPr="003E2A61">
        <w:rPr>
          <w:rFonts w:eastAsia="Aptos"/>
          <w:kern w:val="2"/>
          <w:lang w:val="en-US"/>
          <w14:ligatures w14:val="standardContextual"/>
        </w:rPr>
        <w:t>For instance, novice special educators or those less experienced with technology may require more intensive, structured support, while experienced educators might benefit more from advanced, collaborative formats</w:t>
      </w:r>
      <w:r w:rsidR="00F21629">
        <w:rPr>
          <w:rFonts w:eastAsia="Aptos"/>
          <w:kern w:val="2"/>
          <w:lang w:val="en-US"/>
          <w14:ligatures w14:val="standardContextual"/>
        </w:rPr>
        <w:t xml:space="preserve"> </w:t>
      </w:r>
      <w:r w:rsidR="00D662DB">
        <w:rPr>
          <w:rFonts w:eastAsia="Aptos"/>
          <w:kern w:val="2"/>
          <w:lang w:val="en-US"/>
          <w14:ligatures w14:val="standardContextual"/>
        </w:rPr>
        <w:fldChar w:fldCharType="begin"/>
      </w:r>
      <w:r w:rsidR="00E27F7C">
        <w:rPr>
          <w:rFonts w:eastAsia="Aptos"/>
          <w:kern w:val="2"/>
          <w:lang w:val="en-US"/>
          <w14:ligatures w14:val="standardContextual"/>
        </w:rPr>
        <w:instrText xml:space="preserve"> ADDIN ZOTERO_ITEM CSL_CITATION {"citationID":"wp10DQ1q","properties":{"formattedCitation":"(Van Driel et al., 2001)","plainCitation":"(Van Driel et al., 2001)","noteIndex":0},"citationItems":[{"id":17640,"uris":["http://zotero.org/users/15409160/items/EVY5EFLL"],"itemData":{"id":17640,"type":"article-journal","abstract":"In this article, professional development in the context of the current reforms in science education is discussed from the perspective of developing teachers' practical knowledge. It is argued that reform efforts in the past have often been unsuccessful because they failed to take teachers' existing knowledge, beliefs, and attitudes into account. Teachers' practical knowledge is conceptualized as action-oriented and person-bound. As it is constructed by teachers in the context of their work, practical knowledge integrates experiential knowledge, formal knowledge, and personal beliefs. To capture this complex type of knowledge, multimethod designs are necessary. On the basis of a literature review, it is concluded that long-term professional development programs are needed to achieve lasting changes in teachers' practical knowledge. In particular, the following strategies are potentially powerful: (a) learning in networks, (b) peer coaching, (c) collaborative action research, and (d) the use of cases. In any case, it is recommended that teachers' practical knowledge be investigated at the start of a reform project, and that changes in this knowledge be monitored throughout the project. In that way, the reform project may benefit from teachers' expertise. Moreover, this makes it possible to adjust the reform so as to enhance the chances of a successful implementation. © 2001 John Wiley &amp; Sons, Inc. J Res Sci Teach 38: 137–158, 2001","container-title":"Journal of Research in Science Teaching","DOI":"10.1002/1098-2736(200102)38:2&lt;137::aid-tea1001&gt;3.0.co;2-u","ISSN":"0022-4308, 1098-2736","issue":"2","journalAbbreviation":"J. Res. Sci. Teach.","language":"en","license":"http://doi.wiley.com/10.1002/tdm_license_1.1","note":"publisher: Wiley","page":"137-158","source":"Crossref","title":"Professional development and reform in science education: The role of teachers' practical knowledge","title-short":"Professional development and reform in science education","URL":"https://onlinelibrary.wiley.com/doi/10.1002/1098-2736(200102)38:2&lt;137::AID-TEA1001&gt;3.0.CO;2-U","volume":"38","author":[{"family":"Van Driel","given":"Jan H."},{"family":"Beijaard","given":"Douwe"},{"family":"Verloop","given":"Nico"}],"accessed":{"date-parts":[["2025",5,22]]},"issued":{"date-parts":[["2001",2]]},"citation-key":"vandrielProfessionalDevelopmentReform2001"}}],"schema":"https://github.com/citation-style-language/schema/raw/master/csl-citation.json"} </w:instrText>
      </w:r>
      <w:r w:rsidR="00D662DB">
        <w:rPr>
          <w:rFonts w:eastAsia="Aptos"/>
          <w:kern w:val="2"/>
          <w:lang w:val="en-US"/>
          <w14:ligatures w14:val="standardContextual"/>
        </w:rPr>
        <w:fldChar w:fldCharType="separate"/>
      </w:r>
      <w:r w:rsidR="00E27F7C">
        <w:rPr>
          <w:rFonts w:eastAsia="Aptos"/>
          <w:noProof/>
          <w:kern w:val="2"/>
          <w:lang w:val="en-US"/>
          <w14:ligatures w14:val="standardContextual"/>
        </w:rPr>
        <w:t>(Van Driel et al., 2001)</w:t>
      </w:r>
      <w:r w:rsidR="00D662DB">
        <w:rPr>
          <w:rFonts w:eastAsia="Aptos"/>
          <w:kern w:val="2"/>
          <w:lang w:val="en-US"/>
          <w14:ligatures w14:val="standardContextual"/>
        </w:rPr>
        <w:fldChar w:fldCharType="end"/>
      </w:r>
      <w:r w:rsidR="003E2A61" w:rsidRPr="003E2A61">
        <w:rPr>
          <w:rFonts w:eastAsia="Aptos"/>
          <w:kern w:val="2"/>
          <w:lang w:val="en-US"/>
          <w14:ligatures w14:val="standardContextual"/>
        </w:rPr>
        <w:t>.</w:t>
      </w:r>
    </w:p>
    <w:p w14:paraId="4CB898E5" w14:textId="02CF3AA2" w:rsidR="003E2A61" w:rsidRPr="003E2A61" w:rsidRDefault="007E0BF1" w:rsidP="003E2A61">
      <w:pPr>
        <w:spacing w:line="480" w:lineRule="auto"/>
        <w:ind w:firstLine="720"/>
        <w:rPr>
          <w:rFonts w:eastAsia="Aptos"/>
          <w:kern w:val="2"/>
          <w:lang w:val="en-US"/>
          <w14:ligatures w14:val="standardContextual"/>
        </w:rPr>
      </w:pPr>
      <w:r>
        <w:rPr>
          <w:rFonts w:eastAsia="Aptos"/>
          <w:kern w:val="2"/>
          <w:lang w:val="en-US"/>
          <w14:ligatures w14:val="standardContextual"/>
        </w:rPr>
        <w:t xml:space="preserve">Prior experience with educational technology among educators was rarely reported, though available data showed teachers often had at least minimal technology familiarity. This gap in reporting is significant for practice, as understanding educators’ baseline technology skills </w:t>
      </w:r>
      <w:r>
        <w:rPr>
          <w:rFonts w:eastAsia="Aptos"/>
          <w:kern w:val="2"/>
          <w:lang w:val="en-US"/>
          <w14:ligatures w14:val="standardContextual"/>
        </w:rPr>
        <w:lastRenderedPageBreak/>
        <w:t>is crucial to designing PD programs in line with their needs. Without clear documentation of prior experience, PD effectiveness may vary substantially.</w:t>
      </w:r>
    </w:p>
    <w:p w14:paraId="60CE619B" w14:textId="77777777" w:rsidR="003E2A61" w:rsidRPr="003E2A61" w:rsidRDefault="003E2A61" w:rsidP="003E2A61">
      <w:pPr>
        <w:spacing w:line="480" w:lineRule="auto"/>
        <w:outlineLvl w:val="1"/>
        <w:rPr>
          <w:rFonts w:eastAsia="Aptos"/>
          <w:b/>
          <w:bCs/>
          <w:kern w:val="2"/>
          <w:lang w:val="en-US"/>
          <w14:ligatures w14:val="standardContextual"/>
        </w:rPr>
      </w:pPr>
      <w:bookmarkStart w:id="17" w:name="_Hlk198693800"/>
      <w:r w:rsidRPr="003E2A61">
        <w:rPr>
          <w:rFonts w:eastAsia="Aptos"/>
          <w:b/>
          <w:bCs/>
          <w:kern w:val="2"/>
          <w:lang w:val="en-US"/>
          <w14:ligatures w14:val="standardContextual"/>
        </w:rPr>
        <w:t>RQ2: PD Settings and Delivery Contexts</w:t>
      </w:r>
    </w:p>
    <w:p w14:paraId="357D706F" w14:textId="73CD9302" w:rsidR="00293EA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Across reviewed studies, the settings and contexts of professional development (PD) delivery for special education teachers showed notable variability. Most PD interventions took place within public elementary (K–5) and middle school (6–8) settings, with a smaller representation of studies situated in high school (9–12) contexts. Among case studies, 46% were situated in urban and 36% in suburban settings, with no case studies occurring in rural schools. Only one group design study explicitly reported on rural participation </w:t>
      </w:r>
      <w:r w:rsidR="00302714">
        <w:rPr>
          <w:rFonts w:eastAsia="Aptos"/>
          <w:kern w:val="2"/>
          <w:lang w:val="en-US"/>
          <w14:ligatures w14:val="standardContextual"/>
        </w:rPr>
        <w:fldChar w:fldCharType="begin"/>
      </w:r>
      <w:r w:rsidR="00153958">
        <w:rPr>
          <w:rFonts w:eastAsia="Aptos"/>
          <w:kern w:val="2"/>
          <w:lang w:val="en-US"/>
          <w14:ligatures w14:val="standardContextual"/>
        </w:rPr>
        <w:instrText xml:space="preserve"> ADDIN ZOTERO_ITEM CSL_CITATION {"citationID":"g19uRxFo","properties":{"formattedCitation":"(Byrd-Jones, 2011)","plainCitation":"(Byrd-Jones, 2011)","noteIndex":0},"citationItems":[{"id":607,"uris":["http://zotero.org/users/15409160/items/REL2TDIA"],"itemData":{"id":607,"type":"thesis","abstract":"Effective professional development training is essential to ensuring full technology integration in all classrooms by all teachers on a regular basis. Technology integration can greatly enhance the learning of all students. In particular students with disabilities and special needs benefit a great deal from the use of technology during instruction. It helps to create a universal design for learning that minimizes the students' disabilities and allow them to participate with little assistance. Often when these students live in rural areas they are at an even greater disadvantage due to the limited resources available. The following research uses a survey questionnaire to investigate the prevalence of educational technology for instruction used by special education teachers in rural areas throughout South Carolina. The amount of time spent in professional development training related to technology has an influence on how often a teacher uses technology in the classroom. The research uses adult transformational learning theory as a basis for understanding how adults (teachers) learn new things and incorporate them into practice. There are implications presented for teachers and administrators regarding technology integration.","archive":"ERIC","archive_location":"1312419834; ED537286","event-place":"United States -- South Carolina","genre":"Ed.D.","language":"English","license":"Database copyright ProQuest LLC; ProQuest does not claim copyright in the individual underlying works.","note":"ISBN: 9781267082879","number-of-pages":"145","publisher":"University of South Carolina","publisher-place":"United States -- South Carolina","source":"ProQuest","title":"The use of educational technology integration by special education teachers in rural schools in South Carolina","URL":"https://www.proquest.com/docview/915123953/abstract/9A0195467D304CE5PQ/1","author":[{"family":"Byrd-Jones","given":"Shannon L."}],"accessed":{"date-parts":[["2024",10,14]]},"issued":{"date-parts":[["2011"]]},"citation-key":"byrd-jonesUseEducationalTechnology2011"}}],"schema":"https://github.com/citation-style-language/schema/raw/master/csl-citation.json"} </w:instrText>
      </w:r>
      <w:r w:rsidR="00302714">
        <w:rPr>
          <w:rFonts w:eastAsia="Aptos"/>
          <w:kern w:val="2"/>
          <w:lang w:val="en-US"/>
          <w14:ligatures w14:val="standardContextual"/>
        </w:rPr>
        <w:fldChar w:fldCharType="separate"/>
      </w:r>
      <w:r w:rsidR="00D63A2E">
        <w:rPr>
          <w:rFonts w:eastAsia="Aptos"/>
          <w:noProof/>
          <w:kern w:val="2"/>
          <w:lang w:val="en-US"/>
          <w14:ligatures w14:val="standardContextual"/>
        </w:rPr>
        <w:t>(Byrd-Jones, 2011)</w:t>
      </w:r>
      <w:r w:rsidR="00302714">
        <w:rPr>
          <w:rFonts w:eastAsia="Aptos"/>
          <w:kern w:val="2"/>
          <w:lang w:val="en-US"/>
          <w14:ligatures w14:val="standardContextual"/>
        </w:rPr>
        <w:fldChar w:fldCharType="end"/>
      </w:r>
      <w:r w:rsidRPr="003E2A61">
        <w:rPr>
          <w:rFonts w:eastAsia="Aptos"/>
          <w:kern w:val="2"/>
          <w:lang w:val="en-US"/>
          <w14:ligatures w14:val="standardContextual"/>
        </w:rPr>
        <w:t xml:space="preserve">, suggesting an underrepresentation of rural schools in this literature. </w:t>
      </w:r>
      <w:r w:rsidR="00293EA1">
        <w:rPr>
          <w:rFonts w:eastAsia="Aptos"/>
          <w:kern w:val="2"/>
          <w:lang w:val="en-US"/>
          <w14:ligatures w14:val="standardContextual"/>
        </w:rPr>
        <w:t>Given that special education teachers in rural areas may face additional barriers, such as access to technology, fewer in-person training opportunities, and limited school budgets, this gap is noteworthy. Prior research has noted that rural educators may experience higher levels of professional isolation and fewer district-level supports for technology integration</w:t>
      </w:r>
      <w:r w:rsidR="00523BC0">
        <w:rPr>
          <w:rFonts w:eastAsia="Aptos"/>
          <w:kern w:val="2"/>
          <w:lang w:val="en-US"/>
          <w14:ligatures w14:val="standardContextual"/>
        </w:rPr>
        <w:t xml:space="preserve"> </w:t>
      </w:r>
      <w:r w:rsidR="00523BC0">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{"citationID":"LYusiCAm","properties":{"formattedCitation":"(Rooks-Ellis et al., 2025)","plainCitation":"(Rooks-Ellis et al., 2025)","noteIndex":0},"citationItems":[{"id":17730,"uris":["http://zotero.org/users/15409160/items/2I6VJCA7"],"itemData":{"id":17730,"type":"article-journal","abstract":"The purpose of this review was to scope the existing research literature that describes educational interventions using mid- and high-tech assistive technology (AT) for students with disabilities in rural settings. The authors conducted a systematic literature search and then analyzed the included studies to develop descriptions of current conceptualizations of rurality in the research literature that report on educational interventions using AT, types of AT-supported educational interventions used in rural settings, and characteristics of participants and interveners. Results from 22 studies suggested that intervention research studies using AT in rural settings were primarily focused on students with similar demographics, grade levels, and disability category. Further, the studies evaluated lacked a robust focus on the unique characteristics of rural educational settings, their teachers, or their students with disabilities. The findings of this scoping review may inform the purpose and methods of future research activities, such as systematic reviews of the literature, that target specific instructional interventions using mid- and high-tech AT in rural U.S. schools.","container-title":"Journal of Special Education Technology","DOI":"10.1177/01626434241289955","ISSN":"0162-6434","issue":"2","journalAbbreviation":"J Spec Educ Technol","language":"EN","note":"publisher: SAGE Publications Inc","page":"138-151","source":"SAGE Journals","title":"Assistive technology and rural settings: a scoping review of the literature","title-short":"Assistive technology and rural settings","URL":"https://doi.org/10.1177/01626434241289955","volume":"40","author":[{"family":"Rooks-Ellis","given":"Deborah L."},{"family":"Ryan","given":"Joanna"},{"family":"Floyd","given":"Kim"},{"family":"Sundeen","given":"Todd"}],"accessed":{"date-parts":[["2025",5,23]]},"issued":{"date-parts":[["2025",6,1]]},"citation-key":"rooks-ellisAssistiveTechnologyRural2025"}}],"schema":"https://github.com/citation-style-language/schema/raw/master/csl-citation.json"} </w:instrText>
      </w:r>
      <w:r w:rsidR="00523BC0">
        <w:rPr>
          <w:rFonts w:eastAsia="Aptos"/>
          <w:kern w:val="2"/>
          <w:lang w:val="en-US"/>
          <w14:ligatures w14:val="standardContextual"/>
        </w:rPr>
        <w:fldChar w:fldCharType="separate"/>
      </w:r>
      <w:r w:rsidR="001E7662">
        <w:rPr>
          <w:rFonts w:eastAsia="Aptos"/>
          <w:noProof/>
          <w:kern w:val="2"/>
          <w:lang w:val="en-US"/>
          <w14:ligatures w14:val="standardContextual"/>
        </w:rPr>
        <w:t>(Rooks-Ellis et al., 2025)</w:t>
      </w:r>
      <w:r w:rsidR="00523BC0">
        <w:rPr>
          <w:rFonts w:eastAsia="Aptos"/>
          <w:kern w:val="2"/>
          <w:lang w:val="en-US"/>
          <w14:ligatures w14:val="standardContextual"/>
        </w:rPr>
        <w:fldChar w:fldCharType="end"/>
      </w:r>
      <w:r w:rsidR="001E7662">
        <w:rPr>
          <w:rFonts w:eastAsia="Aptos"/>
          <w:kern w:val="2"/>
          <w:lang w:val="en-US"/>
          <w14:ligatures w14:val="standardContextual"/>
        </w:rPr>
        <w:t>.</w:t>
      </w:r>
      <w:r w:rsidR="00293EA1">
        <w:rPr>
          <w:rFonts w:eastAsia="Aptos"/>
          <w:kern w:val="2"/>
          <w:lang w:val="en-US"/>
          <w14:ligatures w14:val="standardContextual"/>
        </w:rPr>
        <w:t xml:space="preserve"> The underrepresentation of these settings may limit an understanding of the unique challenges and related solutions pertinent to a portion of special educators.</w:t>
      </w:r>
    </w:p>
    <w:p w14:paraId="68835E08" w14:textId="2E213E54"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Socioeconomic status (SES) of the school setting was another area of limited reporting, with 68% of case studies and all group design studies not reporting school level SES data. Among those that did, low-income settings were the most common</w:t>
      </w:r>
      <w:r w:rsidR="00A525A4">
        <w:rPr>
          <w:rFonts w:eastAsia="Aptos"/>
          <w:kern w:val="2"/>
          <w:lang w:val="en-US"/>
          <w14:ligatures w14:val="standardContextual"/>
        </w:rPr>
        <w:t xml:space="preserve">, which may </w:t>
      </w:r>
      <w:r w:rsidR="0000017F">
        <w:rPr>
          <w:rFonts w:eastAsia="Aptos"/>
          <w:kern w:val="2"/>
          <w:lang w:val="en-US"/>
          <w14:ligatures w14:val="standardContextual"/>
        </w:rPr>
        <w:t xml:space="preserve">add to a documented digital divide among K-12 students </w:t>
      </w:r>
      <w:r w:rsidR="0000017F">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{"citationID":"fa6odjNA","properties":{"formattedCitation":"(Dolan, 2016)","plainCitation":"(Dolan, 2016)","noteIndex":0},"citationItems":[{"id":17651,"uris":["http://zotero.org/users/15409160/items/9KDBVHC9"],"itemData":{"id":17651,"type":"article-journal","abstract":"The second phase was organized by reference analysis (citation snowballing), using collected articles and searching by author and keywords. The ﬁrst search was a broad investigation with the search terms “technology” and “schools” on the university library site, which accessed Academic Search Premier, EBSCO, ERIC, PsycINFO, and Scopus, among others, and on Google Scholar. This search resulted in 265,912 document hits. To make the search manageable, the search terms were narrowed to only include K–12 U.S. schools and peer-reviewed journals, which resulted in 653 documents. From this initial search, 45 articles were identiﬁed and saved, focused on how students in grades K–12 either had access to, or differed in, their use of technology. An important note is that research on schools outside of the United States was deliberately excluded. Although there is important research on the topic of the digital divide in schools generated across the world, this review is focused on public schools in the United States, and therefore only research pertaining to that topic was included. A second search was conducted by specifying terms, changing “technology” to “use of technology” and adding the terms “socioeconomic status” and “digital divide,” retrieving only peer-reviewed journals that were available as full text online, and from the year 2000 to the current year (2015). The date range was a deliberate choice. Earlier research and research reviews (prior to 2000) appeared to exclusively focus on having technology, not how it was being used. Bounding the search to these particular years may be a limitation of the study. However, the post-2000 implementation of No Child Left Behind (2001) and, subsequently, that of the Common Core State Standards (CCSS) (National Governors Association Center for Best Practices &amp; Council of Chief State School Ofﬁcers, 2010) into school curriculums have speciﬁcally required schools to focus on students’ technology skills (especially due to the testing component of the CCSS, which is expected to be completed online). Including a wide time span in the documents had the potential both to show sweeping changes in technology integration, and potentially to uncover entrenched stagnation in practices. This subsequent search resulted in nine additional articles referencing the different ways in which students and schools used technology.","container-title":"Journal of Research on Technology in Education","DOI":"10.1080/15391523.2015.1103147","ISSN":"1539-1523, 1945-0818","issue":"1","journalAbbreviation":"Journal of Research on Technology in Education","language":"en","note":"publisher: Informa UK Limited","page":"16-37","source":"Crossref","title":"Splicing the divide: a review of research on the evolving digital divide among K–12 students","title-short":"Splicing the divide","URL":"http://www.tandfonline.com/doi/full/10.1080/15391523.2015.1103147","volume":"48","author":[{"family":"Dolan","given":"Jennifer E."}],"accessed":{"date-parts":[["2025",5,22]]},"issued":{"date-parts":[["2016",1,2]]},"citation-key":"dolanSplicingDivideReview2016"}}],"schema":"https://github.com/citation-style-language/schema/raw/master/csl-citation.json"} </w:instrText>
      </w:r>
      <w:r w:rsidR="0000017F">
        <w:rPr>
          <w:rFonts w:eastAsia="Aptos"/>
          <w:kern w:val="2"/>
          <w:lang w:val="en-US"/>
          <w14:ligatures w14:val="standardContextual"/>
        </w:rPr>
        <w:fldChar w:fldCharType="separate"/>
      </w:r>
      <w:r w:rsidR="0000017F">
        <w:rPr>
          <w:rFonts w:eastAsia="Aptos"/>
          <w:noProof/>
          <w:kern w:val="2"/>
          <w:lang w:val="en-US"/>
          <w14:ligatures w14:val="standardContextual"/>
        </w:rPr>
        <w:t>(Dolan, 2016)</w:t>
      </w:r>
      <w:r w:rsidR="0000017F">
        <w:rPr>
          <w:rFonts w:eastAsia="Aptos"/>
          <w:kern w:val="2"/>
          <w:lang w:val="en-US"/>
          <w14:ligatures w14:val="standardContextual"/>
        </w:rPr>
        <w:fldChar w:fldCharType="end"/>
      </w:r>
      <w:r w:rsidRPr="003E2A61">
        <w:rPr>
          <w:rFonts w:eastAsia="Aptos"/>
          <w:kern w:val="2"/>
          <w:lang w:val="en-US"/>
          <w14:ligatures w14:val="standardContextual"/>
        </w:rPr>
        <w:t>.</w:t>
      </w:r>
      <w:bookmarkStart w:id="18" w:name="_Hlk198853590"/>
      <w:r w:rsidR="004D5CBD">
        <w:rPr>
          <w:rFonts w:eastAsia="Aptos"/>
          <w:kern w:val="2"/>
          <w:lang w:val="en-US"/>
          <w14:ligatures w14:val="standardContextual"/>
        </w:rPr>
        <w:t xml:space="preserve"> The widespread omission of socioeconomic status (SES) reporting in studies limits understanding of how economic disparities among schools might affect the availability and effective implementation of educational technology. Given that technology integration typically depends upon adequate </w:t>
      </w:r>
      <w:r w:rsidR="004D5CBD">
        <w:rPr>
          <w:rFonts w:eastAsia="Aptos"/>
          <w:kern w:val="2"/>
          <w:lang w:val="en-US"/>
          <w14:ligatures w14:val="standardContextual"/>
        </w:rPr>
        <w:lastRenderedPageBreak/>
        <w:t xml:space="preserve">funding for devices, teacher training, and digital infrastructure, neglecting SES as a variable constrains researchers’ and practitioners’ abilities to tailor professional development effectively for resource-limited educational contexts </w:t>
      </w:r>
      <w:r w:rsidR="00967D51">
        <w:rPr>
          <w:rFonts w:eastAsia="Aptos"/>
          <w:kern w:val="2"/>
          <w:lang w:val="en-US"/>
          <w14:ligatures w14:val="standardContextual"/>
        </w:rPr>
        <w:fldChar w:fldCharType="begin"/>
      </w:r>
      <w:r w:rsidR="00967D51">
        <w:rPr>
          <w:rFonts w:eastAsia="Aptos"/>
          <w:kern w:val="2"/>
          <w:lang w:val="en-US"/>
          <w14:ligatures w14:val="standardContextual"/>
        </w:rPr>
        <w:instrText xml:space="preserve"> ADDIN ZOTERO_ITEM CSL_CITATION {"citationID":"enxnhFFy","properties":{"formattedCitation":"(Cheng &amp; Parker, 2023)","plainCitation":"(Cheng &amp; Parker, 2023)","noteIndex":0},"citationItems":[{"id":17738,"uris":["http://zotero.org/users/15409160/items/BBKB2ZEE"],"itemData":{"id":17738,"type":"article-journal","abstract":"This study aimed to examine the relations between first-order and second-order barriers and ICT (information and communications technology) integration across schools with different SES (socioeconomic status) levels in the US. This study was based on a nationally representative sample of public elementary and secondary schools included in the fast response survey system (FRSS)–educational technology in the US public schools. Multiple-group path modeling was employed as the main analytic method. The results showed that in advantaged schools, first-order and second-order barriers demonstrated additive effects on ICT integration. However, in disadvantaged schools, first-order and second-order barriers showed multiplicative effects on ICT integration. This study suggests that in advantaged schools, eradicating second-order barriers can compensate for the constraints on ICT integration imposed by first-order barriers. However, in disadvantaged schools, removing second-order barriers will not be effective if first-order barriers are not addressed first. This study contributes to the literature by highlighting the role of school SES in planning school-wide ICT integration. Also, a contextualized model is proposed to capture the differential relations between barriers and ICT integration in specific school contexts.","container-title":"Contemporary Educational Technology","DOI":"10.30935/cedtech/13059","ISSN":"1309-517X","issue":"2","journalAbbreviation":"CONT ED TECHNOLOGY","language":"english","note":"publisher: Bastas","page":"ep422","source":"www.cedtech.net","title":"The role of school socioeconomic status in school-wide technology integration in the U.S.","URL":"https://www.cedtech.net/article/the-role-of-school-socioeconomic-status-in-school-wide-technology-integration-in-the-us-13059","volume":"15","author":[{"family":"Cheng","given":"Shonn"},{"family":"Parker","given":"Mary"}],"accessed":{"date-parts":[["2025",5,23]]},"issued":{"date-parts":[["2023",4,1]]},"citation-key":"chengRoleSchoolSocioeconomic2023"}}],"schema":"https://github.com/citation-style-language/schema/raw/master/csl-citation.json"} </w:instrText>
      </w:r>
      <w:r w:rsidR="00967D51">
        <w:rPr>
          <w:rFonts w:eastAsia="Aptos"/>
          <w:kern w:val="2"/>
          <w:lang w:val="en-US"/>
          <w14:ligatures w14:val="standardContextual"/>
        </w:rPr>
        <w:fldChar w:fldCharType="separate"/>
      </w:r>
      <w:r w:rsidR="00967D51">
        <w:rPr>
          <w:rFonts w:eastAsia="Aptos"/>
          <w:noProof/>
          <w:kern w:val="2"/>
          <w:lang w:val="en-US"/>
          <w14:ligatures w14:val="standardContextual"/>
        </w:rPr>
        <w:t>(Cheng &amp; Parker, 2023)</w:t>
      </w:r>
      <w:r w:rsidR="00967D51">
        <w:rPr>
          <w:rFonts w:eastAsia="Aptos"/>
          <w:kern w:val="2"/>
          <w:lang w:val="en-US"/>
          <w14:ligatures w14:val="standardContextual"/>
        </w:rPr>
        <w:fldChar w:fldCharType="end"/>
      </w:r>
      <w:r w:rsidR="004D5CBD">
        <w:rPr>
          <w:rFonts w:eastAsia="Aptos"/>
          <w:kern w:val="2"/>
          <w:lang w:val="en-US"/>
          <w14:ligatures w14:val="standardContextual"/>
        </w:rPr>
        <w:t>.</w:t>
      </w:r>
    </w:p>
    <w:bookmarkEnd w:id="18"/>
    <w:p w14:paraId="12BB5A3C"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Research</w:t>
      </w:r>
    </w:p>
    <w:p w14:paraId="388176E8" w14:textId="06B3517B"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Future research could explore PD across different school contexts and delivery formats, comparing effectiveness in urban versus rural settings or examining PD models across grade banded contexts. Doing so could contribute important insights into </w:t>
      </w:r>
      <w:r w:rsidR="0000017F">
        <w:rPr>
          <w:rFonts w:eastAsia="Aptos"/>
          <w:kern w:val="2"/>
          <w:lang w:val="en-US"/>
          <w14:ligatures w14:val="standardContextual"/>
        </w:rPr>
        <w:t xml:space="preserve">overcoming </w:t>
      </w:r>
      <w:r w:rsidRPr="003E2A61">
        <w:rPr>
          <w:rFonts w:eastAsia="Aptos"/>
          <w:kern w:val="2"/>
          <w:lang w:val="en-US"/>
          <w14:ligatures w14:val="standardContextual"/>
        </w:rPr>
        <w:t xml:space="preserve">context-specific needs </w:t>
      </w:r>
      <w:r w:rsidR="0058652E">
        <w:rPr>
          <w:rFonts w:eastAsia="Aptos"/>
          <w:kern w:val="2"/>
          <w:lang w:val="en-US"/>
          <w14:ligatures w14:val="standardContextual"/>
        </w:rPr>
        <w:t xml:space="preserve">of a remote setting </w:t>
      </w:r>
      <w:r w:rsidR="00163054">
        <w:rPr>
          <w:rFonts w:eastAsia="Aptos"/>
          <w:kern w:val="2"/>
          <w:lang w:val="en-US"/>
          <w14:ligatures w14:val="standardContextual"/>
        </w:rPr>
        <w:fldChar w:fldCharType="begin"/>
      </w:r>
      <w:r w:rsidR="00AA20BE">
        <w:rPr>
          <w:rFonts w:eastAsia="Aptos"/>
          <w:kern w:val="2"/>
          <w:lang w:val="en-US"/>
          <w14:ligatures w14:val="standardContextual"/>
        </w:rPr>
        <w:instrText xml:space="preserve"> ADDIN ZOTERO_ITEM CSL_CITATION {"citationID":"TT3uiAmO","properties":{"formattedCitation":"(Sundeen &amp; Kalos, 2022)","plainCitation":"(Sundeen &amp; Kalos, 2022)","noteIndex":0},"citationItems":[{"id":17732,"uris":["http://zotero.org/users/15409160/items/97J7IXH4"],"itemData":{"id":17732,"type":"article-journal","abstract":"The COVID-19 pandemic forced the temporary closing of many brick and mortar school buildings in fall 2020 while substantially changing the delivery of instruction for students with and without disabilities in rural schools. This article describes the qualitative results of an online study completed between August 2020 and October 2020 that investigated rural educational leaders’ perceptions of the use of online instructional technologies before and during the COVID-19 pandemic. Rural educational leaders also shared how special education services were delivered and how parents felt about their children’s learning. The early school year in fall 2020 was a critical period for rural educational leaders as they were managing persistent and evolving issues related to providing quality educational opportunities to all students. This article provides a unique portrait of that crucial moment for educators, students, and parents.","container-title":"Theory &amp; Practice in Rural Education","DOI":"10.3776/tpre.2022.v12n2p105-128","ISSN":"2641-7170","issue":"2","language":"en","license":"Copyright (c) 2022 Todd H. Sundeen, Michelle Kalos","note":"number: 2","page":"105-128","source":"tpre.ecu.edu","title":"Rural educational leader perceptions of online learning for students with and without disabilities before and during the COVID-19 pandemic","URL":"https://tpre.ecu.edu/index.php/tpre/article/view/836","volume":"12","author":[{"family":"Sundeen","given":"Todd H."},{"family":"Kalos","given":"Michelle"}],"accessed":{"date-parts":[["2025",5,23]]},"issued":{"date-parts":[["2022",11,4]]},"citation-key":"sundeenRuralEducationalLeader2022"}}],"schema":"https://github.com/citation-style-language/schema/raw/master/csl-citation.json"} </w:instrText>
      </w:r>
      <w:r w:rsidR="00163054">
        <w:rPr>
          <w:rFonts w:eastAsia="Aptos"/>
          <w:kern w:val="2"/>
          <w:lang w:val="en-US"/>
          <w14:ligatures w14:val="standardContextual"/>
        </w:rPr>
        <w:fldChar w:fldCharType="separate"/>
      </w:r>
      <w:r w:rsidR="00AA20BE">
        <w:rPr>
          <w:rFonts w:eastAsia="Aptos"/>
          <w:noProof/>
          <w:kern w:val="2"/>
          <w:lang w:val="en-US"/>
          <w14:ligatures w14:val="standardContextual"/>
        </w:rPr>
        <w:t>(Sundeen &amp; Kalos, 2022)</w:t>
      </w:r>
      <w:r w:rsidR="00163054">
        <w:rPr>
          <w:rFonts w:eastAsia="Aptos"/>
          <w:kern w:val="2"/>
          <w:lang w:val="en-US"/>
          <w14:ligatures w14:val="standardContextual"/>
        </w:rPr>
        <w:fldChar w:fldCharType="end"/>
      </w:r>
      <w:r w:rsidRPr="003E2A61">
        <w:rPr>
          <w:rFonts w:eastAsia="Aptos"/>
          <w:kern w:val="2"/>
          <w:lang w:val="en-US"/>
          <w14:ligatures w14:val="standardContextual"/>
        </w:rPr>
        <w:t xml:space="preserve">. The overall lack of SES reporting restricts the ability to understand how economic disparities across schools may influence the accessibility to and implementation of </w:t>
      </w:r>
      <w:r w:rsidR="009A2CB5">
        <w:rPr>
          <w:rFonts w:eastAsia="Aptos"/>
          <w:kern w:val="2"/>
          <w:lang w:val="en-US"/>
          <w14:ligatures w14:val="standardContextual"/>
        </w:rPr>
        <w:t>ET</w:t>
      </w:r>
      <w:r w:rsidRPr="003E2A61">
        <w:rPr>
          <w:rFonts w:eastAsia="Aptos"/>
          <w:kern w:val="2"/>
          <w:lang w:val="en-US"/>
          <w14:ligatures w14:val="standardContextual"/>
        </w:rPr>
        <w:t xml:space="preserve"> once the researcher has left and the teacher is left to implement their technology learning in practice</w:t>
      </w:r>
      <w:r w:rsidR="00321D59">
        <w:rPr>
          <w:rFonts w:eastAsia="Aptos"/>
          <w:kern w:val="2"/>
          <w:lang w:val="en-US"/>
          <w14:ligatures w14:val="standardContextual"/>
        </w:rPr>
        <w:t xml:space="preserve"> </w:t>
      </w:r>
      <w:r w:rsidR="00D63A2E">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{"citationID":"gwBmH3xd","properties":{"formattedCitation":"(Cheng &amp; Parker, 2023; Dolan, 2016)","plainCitation":"(Cheng &amp; Parker, 2023; Dolan, 2016)","noteIndex":0},"citationItems":[{"id":17738,"uris":["http://zotero.org/users/15409160/items/BBKB2ZEE"],"itemData":{"id":17738,"type":"article-journal","abstract":"This study aimed to examine the relations between first-order and second-order barriers and ICT (information and communications technology) integration across schools with different SES (socioeconomic status) levels in the US. This study was based on a nationally representative sample of public elementary and secondary schools included in the fast response survey system (FRSS)–educational technology in the US public schools. Multiple-group path modeling was employed as the main analytic method. The results showed that in advantaged schools, first-order and second-order barriers demonstrated additive effects on ICT integration. However, in disadvantaged schools, first-order and second-order barriers showed multiplicative effects on ICT integration. This study suggests that in advantaged schools, eradicating second-order barriers can compensate for the constraints on ICT integration imposed by first-order barriers. However, in disadvantaged schools, removing second-order barriers will not be effective if first-order barriers are not addressed first. This study contributes to the literature by highlighting the role of school SES in planning school-wide ICT integration. Also, a contextualized model is proposed to capture the differential relations between barriers and ICT integration in specific school contexts.","container-title":"Contemporary Educational Technology","DOI":"10.30935/cedtech/13059","ISSN":"1309-517X","issue":"2","journalAbbreviation":"CONT ED TECHNOLOGY","language":"english","note":"publisher: Bastas","page":"ep422","source":"www.cedtech.net","title":"The role of school socioeconomic status in school-wide technology integration in the U.S.","URL":"https://www.cedtech.net/article/the-role-of-school-socioeconomic-status-in-school-wide-technology-integration-in-the-us-13059","volume":"15","author":[{"family":"Cheng","given":"Shonn"},{"family":"Parker","given":"Mary"}],"accessed":{"date-parts":[["2025",5,23]]},"issued":{"date-parts":[["2023",4,1]]},"citation-key":"chengRoleSchoolSocioeconomic2023"}},{"id":17651,"uris":["http://zotero.org/users/15409160/items/9KDBVHC9"],"itemData":{"id":17651,"type":"article-journal","abstract":"The second phase was organized by reference analysis (citation snowballing), using collected articles and searching by author and keywords. The ﬁrst search was a broad investigation with the search terms “technology” and “schools” on the university library site, which accessed Academic Search Premier, EBSCO, ERIC, PsycINFO, and Scopus, among others, and on Google Scholar. This search resulted in 265,912 document hits. To make the search manageable, the search terms were narrowed to only include K–12 U.S. schools and peer-reviewed journals, which resulted in 653 documents. From this initial search, 45 articles were identiﬁed and saved, focused on how students in grades K–12 either had access to, or differed in, their use of technology. An important note is that research on schools outside of the United States was deliberately excluded. Although there is important research on the topic of the digital divide in schools generated across the world, this review is focused on public schools in the United States, and therefore only research pertaining to that topic was included. A second search was conducted by specifying terms, changing “technology” to “use of technology” and adding the terms “socioeconomic status” and “digital divide,” retrieving only peer-reviewed journals that were available as full text online, and from the year 2000 to the current year (2015). The date range was a deliberate choice. Earlier research and research reviews (prior to 2000) appeared to exclusively focus on having technology, not how it was being used. Bounding the search to these particular years may be a limitation of the study. However, the post-2000 implementation of No Child Left Behind (2001) and, subsequently, that of the Common Core State Standards (CCSS) (National Governors Association Center for Best Practices &amp; Council of Chief State School Ofﬁcers, 2010) into school curriculums have speciﬁcally required schools to focus on students’ technology skills (especially due to the testing component of the CCSS, which is expected to be completed online). Including a wide time span in the documents had the potential both to show sweeping changes in technology integration, and potentially to uncover entrenched stagnation in practices. This subsequent search resulted in nine additional articles referencing the different ways in which students and schools used technology.","container-title":"Journal of Research on Technology in Education","DOI":"10.1080/15391523.2015.1103147","ISSN":"1539-1523, 1945-0818","issue":"1","journalAbbreviation":"Journal of Research on Technology in Education","language":"en","note":"publisher: Informa UK Limited","page":"16-37","source":"Crossref","title":"Splicing the divide: a review of research on the evolving digital divide among K–12 students","title-short":"Splicing the divide","URL":"http://www.tandfonline.com/doi/full/10.1080/15391523.2015.1103147","volume":"48","author":[{"family":"Dolan","given":"Jennifer E."}],"accessed":{"date-parts":[["2025",5,22]]},"issued":{"date-parts":[["2016",1,2]]},"citation-key":"dolanSplicingDivideReview2016"}}],"schema":"https://github.com/citation-style-language/schema/raw/master/csl-citation.json"} </w:instrText>
      </w:r>
      <w:r w:rsidR="00D63A2E">
        <w:rPr>
          <w:rFonts w:eastAsia="Aptos"/>
          <w:kern w:val="2"/>
          <w:lang w:val="en-US"/>
          <w14:ligatures w14:val="standardContextual"/>
        </w:rPr>
        <w:fldChar w:fldCharType="separate"/>
      </w:r>
      <w:r w:rsidR="00E74221">
        <w:rPr>
          <w:rFonts w:eastAsia="Aptos"/>
          <w:noProof/>
          <w:kern w:val="2"/>
          <w:lang w:val="en-US"/>
          <w14:ligatures w14:val="standardContextual"/>
        </w:rPr>
        <w:t>(Cheng &amp; Parker, 2023; Dolan, 2016)</w:t>
      </w:r>
      <w:r w:rsidR="00D63A2E">
        <w:rPr>
          <w:rFonts w:eastAsia="Aptos"/>
          <w:kern w:val="2"/>
          <w:lang w:val="en-US"/>
          <w14:ligatures w14:val="standardContextual"/>
        </w:rPr>
        <w:fldChar w:fldCharType="end"/>
      </w:r>
      <w:r w:rsidRPr="003E2A61">
        <w:rPr>
          <w:rFonts w:eastAsia="Aptos"/>
          <w:kern w:val="2"/>
          <w:lang w:val="en-US"/>
          <w14:ligatures w14:val="standardContextual"/>
        </w:rPr>
        <w:t xml:space="preserve">. </w:t>
      </w:r>
    </w:p>
    <w:p w14:paraId="59BB6438" w14:textId="489F0254"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Additionally, </w:t>
      </w:r>
      <w:r w:rsidR="00AA20BE">
        <w:rPr>
          <w:rFonts w:eastAsia="Aptos"/>
          <w:kern w:val="2"/>
          <w:lang w:val="en-US"/>
          <w14:ligatures w14:val="standardContextual"/>
        </w:rPr>
        <w:t>further</w:t>
      </w:r>
      <w:r w:rsidRPr="003E2A61">
        <w:rPr>
          <w:rFonts w:eastAsia="Aptos"/>
          <w:kern w:val="2"/>
          <w:lang w:val="en-US"/>
          <w14:ligatures w14:val="standardContextual"/>
        </w:rPr>
        <w:t xml:space="preserve"> longitudinal </w:t>
      </w:r>
      <w:r w:rsidR="00AA20BE">
        <w:rPr>
          <w:rFonts w:eastAsia="Aptos"/>
          <w:kern w:val="2"/>
          <w:lang w:val="en-US"/>
          <w14:ligatures w14:val="standardContextual"/>
        </w:rPr>
        <w:t>study</w:t>
      </w:r>
      <w:r w:rsidRPr="003E2A61">
        <w:rPr>
          <w:rFonts w:eastAsia="Aptos"/>
          <w:kern w:val="2"/>
          <w:lang w:val="en-US"/>
          <w14:ligatures w14:val="standardContextual"/>
        </w:rPr>
        <w:t xml:space="preserve"> </w:t>
      </w:r>
      <w:r w:rsidR="0003593D">
        <w:rPr>
          <w:rFonts w:eastAsia="Aptos"/>
          <w:kern w:val="2"/>
          <w:lang w:val="en-US"/>
          <w14:ligatures w14:val="standardContextual"/>
        </w:rPr>
        <w:t>examining</w:t>
      </w:r>
      <w:r w:rsidRPr="003E2A61">
        <w:rPr>
          <w:rFonts w:eastAsia="Aptos"/>
          <w:kern w:val="2"/>
          <w:lang w:val="en-US"/>
          <w14:ligatures w14:val="standardContextual"/>
        </w:rPr>
        <w:t xml:space="preserve"> sustained PD </w:t>
      </w:r>
      <w:r w:rsidR="0003593D">
        <w:rPr>
          <w:rFonts w:eastAsia="Aptos"/>
          <w:kern w:val="2"/>
          <w:lang w:val="en-US"/>
          <w14:ligatures w14:val="standardContextual"/>
        </w:rPr>
        <w:t xml:space="preserve">that is </w:t>
      </w:r>
      <w:r w:rsidR="0003593D" w:rsidRPr="003E2A61">
        <w:rPr>
          <w:rFonts w:eastAsia="Aptos"/>
          <w:kern w:val="2"/>
          <w:lang w:val="en-US"/>
          <w14:ligatures w14:val="standardContextual"/>
        </w:rPr>
        <w:t>embedded</w:t>
      </w:r>
      <w:r w:rsidR="0003593D">
        <w:rPr>
          <w:rFonts w:eastAsia="Aptos"/>
          <w:kern w:val="2"/>
          <w:lang w:val="en-US"/>
          <w14:ligatures w14:val="standardContextual"/>
        </w:rPr>
        <w:t xml:space="preserve"> in teacher</w:t>
      </w:r>
      <w:r w:rsidR="00F713C3">
        <w:rPr>
          <w:rFonts w:eastAsia="Aptos"/>
          <w:kern w:val="2"/>
          <w:lang w:val="en-US"/>
          <w14:ligatures w14:val="standardContextual"/>
        </w:rPr>
        <w:t>’s daily practice</w:t>
      </w:r>
      <w:r w:rsidRPr="003E2A61">
        <w:rPr>
          <w:rFonts w:eastAsia="Aptos"/>
          <w:kern w:val="2"/>
          <w:lang w:val="en-US"/>
          <w14:ligatures w14:val="standardContextual"/>
        </w:rPr>
        <w:t xml:space="preserve"> </w:t>
      </w:r>
      <w:r w:rsidR="00AA20BE">
        <w:rPr>
          <w:rFonts w:eastAsia="Aptos"/>
          <w:kern w:val="2"/>
          <w:lang w:val="en-US"/>
          <w14:ligatures w14:val="standardContextual"/>
        </w:rPr>
        <w:t>might help to</w:t>
      </w:r>
      <w:r w:rsidRPr="003E2A61">
        <w:rPr>
          <w:rFonts w:eastAsia="Aptos"/>
          <w:kern w:val="2"/>
          <w:lang w:val="en-US"/>
          <w14:ligatures w14:val="standardContextual"/>
        </w:rPr>
        <w:t xml:space="preserve"> understand how delivery context impact</w:t>
      </w:r>
      <w:r w:rsidR="00AA20BE">
        <w:rPr>
          <w:rFonts w:eastAsia="Aptos"/>
          <w:kern w:val="2"/>
          <w:lang w:val="en-US"/>
          <w14:ligatures w14:val="standardContextual"/>
        </w:rPr>
        <w:t xml:space="preserve"> </w:t>
      </w:r>
      <w:r w:rsidR="00931648">
        <w:rPr>
          <w:rFonts w:eastAsia="Aptos"/>
          <w:kern w:val="2"/>
          <w:lang w:val="en-US"/>
          <w14:ligatures w14:val="standardContextual"/>
        </w:rPr>
        <w:t xml:space="preserve">the </w:t>
      </w:r>
      <w:r w:rsidR="00F713C3">
        <w:rPr>
          <w:rFonts w:eastAsia="Aptos"/>
          <w:kern w:val="2"/>
          <w:lang w:val="en-US"/>
          <w14:ligatures w14:val="standardContextual"/>
        </w:rPr>
        <w:t>authenticity of</w:t>
      </w:r>
      <w:r w:rsidR="00B95516">
        <w:rPr>
          <w:rFonts w:eastAsia="Aptos"/>
          <w:kern w:val="2"/>
          <w:lang w:val="en-US"/>
          <w14:ligatures w14:val="standardContextual"/>
        </w:rPr>
        <w:t xml:space="preserve"> </w:t>
      </w:r>
      <w:r w:rsidRPr="003E2A61">
        <w:rPr>
          <w:rFonts w:eastAsia="Aptos"/>
          <w:kern w:val="2"/>
          <w:lang w:val="en-US"/>
          <w14:ligatures w14:val="standardContextual"/>
        </w:rPr>
        <w:t>technology integration by special education teachers</w:t>
      </w:r>
      <w:r w:rsidR="00366265">
        <w:rPr>
          <w:rFonts w:eastAsia="Aptos"/>
          <w:kern w:val="2"/>
          <w:lang w:val="en-US"/>
          <w14:ligatures w14:val="standardContextual"/>
        </w:rPr>
        <w:t xml:space="preserve"> and help to reduce abandonment of ET </w:t>
      </w:r>
      <w:r w:rsidR="00366265">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{"citationID":"VcgLS4zz","properties":{"formattedCitation":"(Lamond &amp; Cunningham, 2020)","plainCitation":"(Lamond &amp; Cunningham, 2020)","noteIndex":0},"citationItems":[{"id":17261,"uris":["http://zotero.org/users/15409160/items/RH8FY8TY"],"itemData":{"id":17261,"type":"article-journal","abstract":"This research examined Grade 6–10 Ontario Certified Teachers’ (n = 24) perceptions of assistive technology (AT) and the factors correlated with perceived usefulness of AT. A mixed methods design that included a survey consisting of open- and closed-ended items elicited information about teachers’ AT knowledge and training, their basic computer literacy, their perception of administrative support for access to and implementation of AT, the usefulness of AT, and the factors that encourage or discourage AT use in the classroom. Results of correlational analysis suggested that computer literacy and AT knowledge were significantly positively correlated with perceived usefulness of AT, and a thematic analysis further identified that training and student factors may influence AT use. Implications for preservice and professional development teacher training are discussed, given the consistency of teacher-reported need for greater training opportunities for both students and teachers.","archive":"ERIC","archive_location":"2459009178; EJ1254257","container-title":"Journal of Special Education Technology","DOI":"10.1177/0162643419841550","ISSN":"0162-6434","issue":"2","journalAbbreviation":"J Spec Educ Technol","language":"EN","note":"publisher: SAGE Publications Inc","page":"97-108","source":"SAGE Journals","title":"Understanding teacher perceptions of assistive technology","URL":"https://doi.org/10.1177/0162643419841550","volume":"35","author":[{"family":"Lamond","given":"Bronwyn"},{"family":"Cunningham","given":"Todd"}],"accessed":{"date-parts":[["2025",5,17]]},"issued":{"date-parts":[["2020",6,1]]},"citation-key":"lamondUnderstandingTeacherPerceptions2020"}}],"schema":"https://github.com/citation-style-language/schema/raw/master/csl-citation.json"} </w:instrText>
      </w:r>
      <w:r w:rsidR="00366265">
        <w:rPr>
          <w:rFonts w:eastAsia="Aptos"/>
          <w:kern w:val="2"/>
          <w:lang w:val="en-US"/>
          <w14:ligatures w14:val="standardContextual"/>
        </w:rPr>
        <w:fldChar w:fldCharType="separate"/>
      </w:r>
      <w:r w:rsidR="005A0A11">
        <w:rPr>
          <w:rFonts w:eastAsia="Aptos"/>
          <w:noProof/>
          <w:kern w:val="2"/>
          <w:lang w:val="en-US"/>
          <w14:ligatures w14:val="standardContextual"/>
        </w:rPr>
        <w:t>(Lamond &amp; Cunningham, 2020)</w:t>
      </w:r>
      <w:r w:rsidR="00366265">
        <w:rPr>
          <w:rFonts w:eastAsia="Aptos"/>
          <w:kern w:val="2"/>
          <w:lang w:val="en-US"/>
          <w14:ligatures w14:val="standardContextual"/>
        </w:rPr>
        <w:fldChar w:fldCharType="end"/>
      </w:r>
      <w:r w:rsidR="005A0A11">
        <w:rPr>
          <w:rFonts w:eastAsia="Aptos"/>
          <w:kern w:val="2"/>
          <w:lang w:val="en-US"/>
          <w14:ligatures w14:val="standardContextual"/>
        </w:rPr>
        <w:t>.</w:t>
      </w:r>
    </w:p>
    <w:p w14:paraId="05008C31"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Practice</w:t>
      </w:r>
    </w:p>
    <w:p w14:paraId="010EF119" w14:textId="69FF1942"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Practitioners and school administrators should carefully consider the suitability of PD delivery formats to their specific school contexts and </w:t>
      </w:r>
      <w:r w:rsidR="00C002F1">
        <w:rPr>
          <w:rFonts w:eastAsia="Aptos"/>
          <w:kern w:val="2"/>
          <w:lang w:val="en-US"/>
          <w14:ligatures w14:val="standardContextual"/>
        </w:rPr>
        <w:t xml:space="preserve">teacher </w:t>
      </w:r>
      <w:r w:rsidRPr="003E2A61">
        <w:rPr>
          <w:rFonts w:eastAsia="Aptos"/>
          <w:kern w:val="2"/>
          <w:lang w:val="en-US"/>
          <w14:ligatures w14:val="standardContextual"/>
        </w:rPr>
        <w:t xml:space="preserve">needs. Embedded and sustained models (i.e., coaching, peer collaboration, and communities of practice) </w:t>
      </w:r>
      <w:r w:rsidR="00B95516">
        <w:rPr>
          <w:rFonts w:eastAsia="Aptos"/>
          <w:kern w:val="2"/>
          <w:lang w:val="en-US"/>
          <w14:ligatures w14:val="standardContextual"/>
        </w:rPr>
        <w:t xml:space="preserve">appear to </w:t>
      </w:r>
      <w:r w:rsidRPr="003E2A61">
        <w:rPr>
          <w:rFonts w:eastAsia="Aptos"/>
          <w:kern w:val="2"/>
          <w:lang w:val="en-US"/>
          <w14:ligatures w14:val="standardContextual"/>
        </w:rPr>
        <w:t xml:space="preserve">offer greater potential for meaningful integration and lasting instructional change than short-term workshops. Schools should be encouraged to implement </w:t>
      </w:r>
      <w:r w:rsidR="00C002F1">
        <w:rPr>
          <w:rFonts w:eastAsia="Aptos"/>
          <w:kern w:val="2"/>
          <w:lang w:val="en-US"/>
          <w14:ligatures w14:val="standardContextual"/>
        </w:rPr>
        <w:t xml:space="preserve">these </w:t>
      </w:r>
      <w:r w:rsidRPr="003E2A61">
        <w:rPr>
          <w:rFonts w:eastAsia="Aptos"/>
          <w:kern w:val="2"/>
          <w:lang w:val="en-US"/>
          <w14:ligatures w14:val="standardContextual"/>
        </w:rPr>
        <w:t>longer-term</w:t>
      </w:r>
      <w:r w:rsidR="00C002F1">
        <w:rPr>
          <w:rFonts w:eastAsia="Aptos"/>
          <w:kern w:val="2"/>
          <w:lang w:val="en-US"/>
          <w14:ligatures w14:val="standardContextual"/>
        </w:rPr>
        <w:t xml:space="preserve"> more individualized </w:t>
      </w:r>
      <w:r w:rsidRPr="003E2A61">
        <w:rPr>
          <w:rFonts w:eastAsia="Aptos"/>
          <w:kern w:val="2"/>
          <w:lang w:val="en-US"/>
          <w14:ligatures w14:val="standardContextual"/>
        </w:rPr>
        <w:t>PD formats, particularly where ongoing support and collaboration are possible</w:t>
      </w:r>
      <w:r w:rsidR="00096BF9">
        <w:rPr>
          <w:rFonts w:eastAsia="Aptos"/>
          <w:kern w:val="2"/>
          <w:lang w:val="en-US"/>
          <w14:ligatures w14:val="standardContextual"/>
        </w:rPr>
        <w:t>.</w:t>
      </w:r>
    </w:p>
    <w:bookmarkEnd w:id="17"/>
    <w:p w14:paraId="3543EF86" w14:textId="77777777" w:rsidR="003E2A61" w:rsidRPr="003E2A61" w:rsidRDefault="003E2A61" w:rsidP="003E2A61">
      <w:pPr>
        <w:spacing w:line="480" w:lineRule="auto"/>
        <w:outlineLvl w:val="1"/>
        <w:rPr>
          <w:rFonts w:eastAsia="Aptos"/>
          <w:b/>
          <w:bCs/>
          <w:kern w:val="2"/>
          <w:lang w:val="en-US"/>
          <w14:ligatures w14:val="standardContextual"/>
        </w:rPr>
      </w:pPr>
      <w:r w:rsidRPr="003E2A61">
        <w:rPr>
          <w:rFonts w:eastAsia="Aptos"/>
          <w:b/>
          <w:bCs/>
          <w:kern w:val="2"/>
          <w:lang w:val="en-US"/>
          <w14:ligatures w14:val="standardContextual"/>
        </w:rPr>
        <w:t>RQ3: PD Components and Formats</w:t>
      </w:r>
    </w:p>
    <w:p w14:paraId="0A48BE4D" w14:textId="265AE87C"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lastRenderedPageBreak/>
        <w:t xml:space="preserve">The reviewed studies consistently incorporated components of </w:t>
      </w:r>
      <w:r w:rsidR="00CB66A8">
        <w:rPr>
          <w:rFonts w:eastAsia="Aptos"/>
          <w:kern w:val="2"/>
          <w:lang w:val="en-US"/>
          <w14:ligatures w14:val="standardContextual"/>
        </w:rPr>
        <w:t>PD</w:t>
      </w:r>
      <w:r w:rsidRPr="003E2A61">
        <w:rPr>
          <w:rFonts w:eastAsia="Aptos"/>
          <w:kern w:val="2"/>
          <w:lang w:val="en-US"/>
          <w14:ligatures w14:val="standardContextual"/>
        </w:rPr>
        <w:t xml:space="preserve"> aligned with best-practice criteria described by Darling-Hammond et al. </w:t>
      </w:r>
      <w:r w:rsidR="00B95516">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{"citationID":"rlO3GDlX","properties":{"formattedCitation":"(2017)","plainCitation":"(2017)","noteIndex":0},"citationItems":[{"id":17626,"uris":["http://zotero.org/users/15409160/items/W46V646W"],"itemData":{"id":17626,"type":"report","language":"en","note":"DOI: 10.54300/122.311","publisher":"Learning Policy Institute","source":"Crossref","title":"Effective teacher professional development","URL":"https://learningpolicyinstitute.org/product/effective-teacher-professional-development-report","author":[{"family":"Darling-Hammond","given":"Linda"},{"family":"Hyler","given":"Maria"},{"family":"Gardner","given":"Madelyn"}],"accessed":{"date-parts":[["2025",5,22]]},"issued":{"date-parts":[["2017",6]]},"citation-key":"darling-hammondEffectiveTeacherProfessional2017"},"suppress-author":true}],"schema":"https://github.com/citation-style-language/schema/raw/master/csl-citation.json"} </w:instrText>
      </w:r>
      <w:r w:rsidR="00B95516">
        <w:rPr>
          <w:rFonts w:eastAsia="Aptos"/>
          <w:kern w:val="2"/>
          <w:lang w:val="en-US"/>
          <w14:ligatures w14:val="standardContextual"/>
        </w:rPr>
        <w:fldChar w:fldCharType="separate"/>
      </w:r>
      <w:r w:rsidR="000E3623">
        <w:rPr>
          <w:rFonts w:eastAsia="Aptos"/>
          <w:noProof/>
          <w:kern w:val="2"/>
          <w:lang w:val="en-US"/>
          <w14:ligatures w14:val="standardContextual"/>
        </w:rPr>
        <w:t>(2017)</w:t>
      </w:r>
      <w:r w:rsidR="00B95516">
        <w:rPr>
          <w:rFonts w:eastAsia="Aptos"/>
          <w:kern w:val="2"/>
          <w:lang w:val="en-US"/>
          <w14:ligatures w14:val="standardContextual"/>
        </w:rPr>
        <w:fldChar w:fldCharType="end"/>
      </w:r>
      <w:r w:rsidRPr="003E2A61">
        <w:rPr>
          <w:rFonts w:eastAsia="Aptos"/>
          <w:kern w:val="2"/>
          <w:lang w:val="en-US"/>
          <w14:ligatures w14:val="standardContextual"/>
        </w:rPr>
        <w:t xml:space="preserve">. Most </w:t>
      </w:r>
      <w:r w:rsidR="000E3623" w:rsidRPr="003E2A61">
        <w:rPr>
          <w:rFonts w:eastAsia="Aptos"/>
          <w:kern w:val="2"/>
          <w:lang w:val="en-US"/>
          <w14:ligatures w14:val="standardContextual"/>
        </w:rPr>
        <w:t>often</w:t>
      </w:r>
      <w:r w:rsidRPr="003E2A61">
        <w:rPr>
          <w:rFonts w:eastAsia="Aptos"/>
          <w:kern w:val="2"/>
          <w:lang w:val="en-US"/>
          <w14:ligatures w14:val="standardContextual"/>
        </w:rPr>
        <w:t xml:space="preserve"> </w:t>
      </w:r>
      <w:r w:rsidR="000E3623" w:rsidRPr="003E2A61">
        <w:rPr>
          <w:rFonts w:eastAsia="Aptos"/>
          <w:kern w:val="2"/>
          <w:lang w:val="en-US"/>
          <w14:ligatures w14:val="standardContextual"/>
        </w:rPr>
        <w:t>clear</w:t>
      </w:r>
      <w:r w:rsidRPr="003E2A61">
        <w:rPr>
          <w:rFonts w:eastAsia="Aptos"/>
          <w:kern w:val="2"/>
          <w:lang w:val="en-US"/>
          <w14:ligatures w14:val="standardContextual"/>
        </w:rPr>
        <w:t xml:space="preserve"> were content focus and active learning, with </w:t>
      </w:r>
      <w:r w:rsidR="00E74221">
        <w:rPr>
          <w:rFonts w:eastAsia="Aptos"/>
          <w:kern w:val="2"/>
          <w:lang w:val="en-US"/>
          <w14:ligatures w14:val="standardContextual"/>
        </w:rPr>
        <w:t>most</w:t>
      </w:r>
      <w:r w:rsidRPr="003E2A61">
        <w:rPr>
          <w:rFonts w:eastAsia="Aptos"/>
          <w:kern w:val="2"/>
          <w:lang w:val="en-US"/>
          <w14:ligatures w14:val="standardContextual"/>
        </w:rPr>
        <w:t xml:space="preserve"> studies explicitly highlighting PD designed to engage teachers in tasks relevant to their instructional practices and curriculum areas (Du, 2022; Du &amp; Lyublinskaya, 2022; Gersten &amp; Kelly, 1992). This robust inclusion aligns closely with contemporary PD literature emphasizing the centrality of instructional relevance and active participation in achieving meaningful teacher change </w:t>
      </w:r>
      <w:r w:rsidR="000E3623">
        <w:rPr>
          <w:rFonts w:eastAsia="Aptos"/>
          <w:kern w:val="2"/>
          <w:lang w:val="en-US"/>
          <w14:ligatures w14:val="standardContextual"/>
        </w:rPr>
        <w:fldChar w:fldCharType="begin"/>
      </w:r>
      <w:r w:rsidR="000938F5">
        <w:rPr>
          <w:rFonts w:eastAsia="Aptos"/>
          <w:kern w:val="2"/>
          <w:lang w:val="en-US"/>
          <w14:ligatures w14:val="standardContextual"/>
        </w:rPr>
        <w:instrText xml:space="preserve"> ADDIN ZOTERO_ITEM CSL_CITATION {"citationID":"LKxZj2nJ","properties":{"formattedCitation":"(Kennedy et al., 2014)","plainCitation":"(Kennedy et al., 2014)","noteIndex":0},"citationItems":[{"id":1562,"uris":["http://zotero.org/users/15409160/items/2FHM2E5V"],"itemData":{"id":1562,"type":"article-journal","abstract":"Most general education content area teachers teach classes that include students with disabilities. However, this can be a daily challenge, as most teachers in this group receive limited support for meeting the unique needs of those students in their respective disciplines. One tool used by many to help support learning for all students is multimedia-based instruction; however, the quality of available multimedia can be hit or miss, it can be difficult to find, and it is often a mismatch for student learning needs. In this study, an innovative multimedia-based intervention, Content Acquisition Podcasts (CAPs) are introduced and described in the context of teacher candidate capacity to create a sample video. CAPs contain a combination of evidence-based instructional design principles and practices for learning vocabulary terms and concepts. Forty master's degree students were taught to create CAPs, which were evaluated for adherence to established design principles and evidence-based instructional practices. Participants completed a satisfaction survey and participated in a focus group regarding their experience. Implications for practitioners and teacher educators are included and discussed.","container-title":"Journal of Special Education Technology","DOI":"10.1177/016264341402900402","ISSN":"0162-6434","issue":"4","journalAbbreviation":"J Spec Educ Technol","language":"en","note":"publisher: SAGE Publications Inc","page":"15-30","source":"SAGE Journals","title":"Creating multimedia-based vignettes with embedded evidence-based practices: a tool for supporting struggling learners","title-short":"Creating multimedia-based vignettes with embedded evidence-based practices","URL":"https://doi.org/10.1177/016264341402900402","volume":"29","author":[{"family":"Kennedy","given":"Michael J."},{"family":"Aronin","given":"Sara"},{"family":"O'Neal","given":"Michael"},{"family":"Newton","given":"Jennifer R."},{"family":"Thomas","given":"Cathy Newman"}],"accessed":{"date-parts":[["2024",10,19]]},"issued":{"date-parts":[["2014",12,1]]},"citation-key":"kennedyCreatingMultimediabasedVignettes2014"}}],"schema":"https://github.com/citation-style-language/schema/raw/master/csl-citation.json"} </w:instrText>
      </w:r>
      <w:r w:rsidR="000E3623">
        <w:rPr>
          <w:rFonts w:eastAsia="Aptos"/>
          <w:kern w:val="2"/>
          <w:lang w:val="en-US"/>
          <w14:ligatures w14:val="standardContextual"/>
        </w:rPr>
        <w:fldChar w:fldCharType="separate"/>
      </w:r>
      <w:r w:rsidR="008B065F">
        <w:rPr>
          <w:rFonts w:eastAsia="Aptos"/>
          <w:noProof/>
          <w:kern w:val="2"/>
          <w:lang w:val="en-US"/>
          <w14:ligatures w14:val="standardContextual"/>
        </w:rPr>
        <w:t>(Kennedy et al., 2014)</w:t>
      </w:r>
      <w:r w:rsidR="000E3623">
        <w:rPr>
          <w:rFonts w:eastAsia="Aptos"/>
          <w:kern w:val="2"/>
          <w:lang w:val="en-US"/>
          <w14:ligatures w14:val="standardContextual"/>
        </w:rPr>
        <w:fldChar w:fldCharType="end"/>
      </w:r>
      <w:r w:rsidRPr="003E2A61">
        <w:rPr>
          <w:rFonts w:eastAsia="Aptos"/>
          <w:kern w:val="2"/>
          <w:lang w:val="en-US"/>
          <w14:ligatures w14:val="standardContextual"/>
        </w:rPr>
        <w:t>.</w:t>
      </w:r>
    </w:p>
    <w:p w14:paraId="23B94E0E" w14:textId="3B38E71E"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However, we </w:t>
      </w:r>
      <w:r w:rsidR="00B81C4C">
        <w:rPr>
          <w:rFonts w:eastAsia="Aptos"/>
          <w:kern w:val="2"/>
          <w:lang w:val="en-US"/>
          <w14:ligatures w14:val="standardContextual"/>
        </w:rPr>
        <w:t>observed</w:t>
      </w:r>
      <w:r w:rsidR="00A0610D">
        <w:rPr>
          <w:rFonts w:eastAsia="Aptos"/>
          <w:kern w:val="2"/>
          <w:lang w:val="en-US"/>
          <w14:ligatures w14:val="standardContextual"/>
        </w:rPr>
        <w:t xml:space="preserve"> </w:t>
      </w:r>
      <w:r w:rsidRPr="003E2A61">
        <w:rPr>
          <w:rFonts w:eastAsia="Aptos"/>
          <w:kern w:val="2"/>
          <w:lang w:val="en-US"/>
          <w14:ligatures w14:val="standardContextual"/>
        </w:rPr>
        <w:t xml:space="preserve">variability </w:t>
      </w:r>
      <w:r w:rsidR="00B81C4C">
        <w:rPr>
          <w:rFonts w:eastAsia="Aptos"/>
          <w:kern w:val="2"/>
          <w:lang w:val="en-US"/>
          <w14:ligatures w14:val="standardContextual"/>
        </w:rPr>
        <w:t>i</w:t>
      </w:r>
      <w:r w:rsidRPr="003E2A61">
        <w:rPr>
          <w:rFonts w:eastAsia="Aptos"/>
          <w:kern w:val="2"/>
          <w:lang w:val="en-US"/>
          <w14:ligatures w14:val="standardContextual"/>
        </w:rPr>
        <w:t xml:space="preserve">n other critical PD elements, including modeling, collaboration, coaching/expert support, and structured opportunities for feedback and reflection. Studies employ embedded or sustained delivery formats more often and robustly integrate these elements (Courduff, 2011; Hollins, 2017). Conversely, studies using short-duration, workshop-based approaches </w:t>
      </w:r>
      <w:r w:rsidR="008B065F" w:rsidRPr="003E2A61">
        <w:rPr>
          <w:rFonts w:eastAsia="Aptos"/>
          <w:kern w:val="2"/>
          <w:lang w:val="en-US"/>
          <w14:ligatures w14:val="standardContextual"/>
        </w:rPr>
        <w:t>offered</w:t>
      </w:r>
      <w:r w:rsidRPr="003E2A61">
        <w:rPr>
          <w:rFonts w:eastAsia="Aptos"/>
          <w:kern w:val="2"/>
          <w:lang w:val="en-US"/>
          <w14:ligatures w14:val="standardContextual"/>
        </w:rPr>
        <w:t xml:space="preserve"> fewer opportunities for meaningful modeling, collaborative activities, structured coaching, and reflective practices (Schmidt et al., 2017; Weiss et al., 2016). The depth and fidelity of these components varied or were often not described by study authors.</w:t>
      </w:r>
    </w:p>
    <w:p w14:paraId="16F42227"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Research</w:t>
      </w:r>
    </w:p>
    <w:p w14:paraId="2ECEF0B2" w14:textId="77F1157B"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Future studies could investigate how specific combinations and sequences of PD components contribute to improved technology integration outcomes. Specifically, research </w:t>
      </w:r>
      <w:r w:rsidR="008B065F">
        <w:rPr>
          <w:rFonts w:eastAsia="Aptos"/>
          <w:kern w:val="2"/>
          <w:lang w:val="en-US"/>
          <w14:ligatures w14:val="standardContextual"/>
        </w:rPr>
        <w:t>could</w:t>
      </w:r>
      <w:r w:rsidRPr="003E2A61">
        <w:rPr>
          <w:rFonts w:eastAsia="Aptos"/>
          <w:kern w:val="2"/>
          <w:lang w:val="en-US"/>
          <w14:ligatures w14:val="standardContextual"/>
        </w:rPr>
        <w:t xml:space="preserve"> examine the differential impacts of modeling, collaboration, coaching, and reflective feedback when integrated into PD designs. Greater attention should also be paid to fidelity measures, documenting how consistently and effectively each </w:t>
      </w:r>
      <w:r w:rsidR="008B065F">
        <w:rPr>
          <w:rFonts w:eastAsia="Aptos"/>
          <w:kern w:val="2"/>
          <w:lang w:val="en-US"/>
          <w14:ligatures w14:val="standardContextual"/>
        </w:rPr>
        <w:t xml:space="preserve">PD </w:t>
      </w:r>
      <w:r w:rsidRPr="003E2A61">
        <w:rPr>
          <w:rFonts w:eastAsia="Aptos"/>
          <w:kern w:val="2"/>
          <w:lang w:val="en-US"/>
          <w14:ligatures w14:val="standardContextual"/>
        </w:rPr>
        <w:t xml:space="preserve">component is implemented. Exploring these dimensions will offer more nuanced insights into which PD components are most critical and under what conditions they yield sustained instructional changes among special </w:t>
      </w:r>
      <w:r w:rsidRPr="003E2A61">
        <w:rPr>
          <w:rFonts w:eastAsia="Aptos"/>
          <w:kern w:val="2"/>
          <w:lang w:val="en-US"/>
          <w14:ligatures w14:val="standardContextual"/>
        </w:rPr>
        <w:lastRenderedPageBreak/>
        <w:t>education teachers. The impact of long-term and follow-up procedures to reinforce learning could also be helpful to examine further.</w:t>
      </w:r>
    </w:p>
    <w:p w14:paraId="53F4B989"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Practice</w:t>
      </w:r>
    </w:p>
    <w:p w14:paraId="41A655D1" w14:textId="77777777" w:rsidR="00E74330"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PD developers and school leaders should consider PD components’ critical presence, quality, and integration into their professional learning offerings. While content-focused and active learning experiences are foundational, integrating sustained coaching, modeling of effective practice, structured collaboration, and reflective activities is likely essential for teachers to make meaning from their learning and help them better generalize how they may use the educational technologies meaningfully with their students. </w:t>
      </w:r>
      <w:proofErr w:type="gramStart"/>
      <w:r w:rsidR="00566ABD">
        <w:rPr>
          <w:rFonts w:eastAsia="Aptos"/>
          <w:kern w:val="2"/>
          <w:lang w:val="en-US"/>
          <w14:ligatures w14:val="standardContextual"/>
        </w:rPr>
        <w:t>In order to</w:t>
      </w:r>
      <w:proofErr w:type="gramEnd"/>
      <w:r w:rsidR="00566ABD">
        <w:rPr>
          <w:rFonts w:eastAsia="Aptos"/>
          <w:kern w:val="2"/>
          <w:lang w:val="en-US"/>
          <w14:ligatures w14:val="standardContextual"/>
        </w:rPr>
        <w:t xml:space="preserve"> better contextualize </w:t>
      </w:r>
      <w:r w:rsidR="00445163">
        <w:rPr>
          <w:rFonts w:eastAsia="Aptos"/>
          <w:kern w:val="2"/>
          <w:lang w:val="en-US"/>
          <w14:ligatures w14:val="standardContextual"/>
        </w:rPr>
        <w:t>PD, schools should ensure it is delivered in a setting</w:t>
      </w:r>
      <w:r w:rsidRPr="003E2A61">
        <w:rPr>
          <w:rFonts w:eastAsia="Aptos"/>
          <w:kern w:val="2"/>
          <w:lang w:val="en-US"/>
          <w14:ligatures w14:val="standardContextual"/>
        </w:rPr>
        <w:t xml:space="preserve"> that </w:t>
      </w:r>
      <w:r w:rsidR="002B0CED">
        <w:rPr>
          <w:rFonts w:eastAsia="Aptos"/>
          <w:kern w:val="2"/>
          <w:lang w:val="en-US"/>
          <w14:ligatures w14:val="standardContextual"/>
        </w:rPr>
        <w:t>a</w:t>
      </w:r>
      <w:r w:rsidR="0003593D">
        <w:rPr>
          <w:rFonts w:eastAsia="Aptos"/>
          <w:kern w:val="2"/>
          <w:lang w:val="en-US"/>
          <w14:ligatures w14:val="standardContextual"/>
        </w:rPr>
        <w:t>n authentic time and space to how teachers work with SWD.</w:t>
      </w:r>
    </w:p>
    <w:p w14:paraId="6E7EAF4B" w14:textId="104EFF57" w:rsidR="003E2A61" w:rsidRPr="003E2A61" w:rsidRDefault="00E74330" w:rsidP="003E2A61">
      <w:pPr>
        <w:spacing w:line="480" w:lineRule="auto"/>
        <w:ind w:firstLine="720"/>
        <w:rPr>
          <w:rFonts w:eastAsia="Aptos"/>
          <w:kern w:val="2"/>
          <w:lang w:val="en-US"/>
          <w14:ligatures w14:val="standardContextual"/>
        </w:rPr>
      </w:pPr>
      <w:r>
        <w:rPr>
          <w:rFonts w:eastAsia="Aptos"/>
          <w:kern w:val="2"/>
          <w:lang w:val="en-US"/>
          <w14:ligatures w14:val="standardContextual"/>
        </w:rPr>
        <w:t>An additional gap in this literature is the lack of evidence on how PD programs function independently of research teams, highlighting the need for studies exploring real-world implementation by districts or schools alone.</w:t>
      </w:r>
    </w:p>
    <w:p w14:paraId="0D17D5C6" w14:textId="77777777" w:rsidR="003E2A61" w:rsidRPr="003E2A61" w:rsidRDefault="003E2A61" w:rsidP="003E2A61">
      <w:pPr>
        <w:spacing w:line="480" w:lineRule="auto"/>
        <w:outlineLvl w:val="1"/>
        <w:rPr>
          <w:rFonts w:eastAsia="Aptos"/>
          <w:b/>
          <w:bCs/>
          <w:kern w:val="2"/>
          <w:lang w:val="en-US"/>
          <w14:ligatures w14:val="standardContextual"/>
        </w:rPr>
      </w:pPr>
      <w:r w:rsidRPr="003E2A61">
        <w:rPr>
          <w:rFonts w:eastAsia="Aptos"/>
          <w:b/>
          <w:bCs/>
          <w:kern w:val="2"/>
          <w:lang w:val="en-US"/>
          <w14:ligatures w14:val="standardContextual"/>
        </w:rPr>
        <w:t>RQ4: Technology Types</w:t>
      </w:r>
    </w:p>
    <w:p w14:paraId="4F71643E" w14:textId="65785C69" w:rsidR="003E2A61" w:rsidRPr="003E2A61" w:rsidRDefault="003E2A61" w:rsidP="00B12BB8">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 </w:t>
      </w:r>
      <w:bookmarkStart w:id="19" w:name="_Hlk198854316"/>
      <w:r w:rsidR="00B12BB8">
        <w:rPr>
          <w:rFonts w:eastAsia="Aptos"/>
          <w:kern w:val="2"/>
          <w:lang w:val="en-US"/>
          <w14:ligatures w14:val="standardContextual"/>
        </w:rPr>
        <w:t>The reviewed studies featured a wide range of educational technologies, including common classroom devices (e.g., tablets, interactive whiteboards), specialized intervention tools (e.g., Content Acquisition Podcasts, structured mobile apps), and advanced technologies (e.g., virtual reality, 3D printing). However, most studies provided limited detail on how these technologies were consistently integrated into routine instructional practices, restricting the field’s understanding of effective, sustained technology integration.</w:t>
      </w:r>
    </w:p>
    <w:bookmarkEnd w:id="19"/>
    <w:p w14:paraId="4C1F7CC8"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Research</w:t>
      </w:r>
    </w:p>
    <w:p w14:paraId="6F02F1D3" w14:textId="40B726A6"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lastRenderedPageBreak/>
        <w:t xml:space="preserve">Future research could document and examine how specific ETs introduced in PD programs are implemented in classroom contexts over time following the PD. Emphasis could be placed on reporting not just the type of technology, but the pedagogical strategies teachers use to integrate these tools meaningfully into instruction. Investigations that track longitudinal implementation, teacher adaptations, and student responses to various technologies </w:t>
      </w:r>
      <w:r w:rsidR="008B065F" w:rsidRPr="003E2A61">
        <w:rPr>
          <w:rFonts w:eastAsia="Aptos"/>
          <w:kern w:val="2"/>
          <w:lang w:val="en-US"/>
          <w14:ligatures w14:val="standardContextual"/>
        </w:rPr>
        <w:t>enhance</w:t>
      </w:r>
      <w:r w:rsidRPr="003E2A61">
        <w:rPr>
          <w:rFonts w:eastAsia="Aptos"/>
          <w:kern w:val="2"/>
          <w:lang w:val="en-US"/>
          <w14:ligatures w14:val="standardContextual"/>
        </w:rPr>
        <w:t xml:space="preserve"> understanding of how and why particular tools may be effective in special education settings.</w:t>
      </w:r>
    </w:p>
    <w:p w14:paraId="5F041E71" w14:textId="77777777" w:rsidR="003E2A61" w:rsidRPr="003E2A61" w:rsidRDefault="003E2A61" w:rsidP="003E2A61">
      <w:pPr>
        <w:spacing w:line="480" w:lineRule="auto"/>
        <w:outlineLvl w:val="2"/>
        <w:rPr>
          <w:rFonts w:eastAsia="Aptos"/>
          <w:b/>
          <w:bCs/>
          <w:i/>
          <w:iCs/>
          <w:kern w:val="2"/>
          <w:lang w:val="en-US"/>
          <w14:ligatures w14:val="standardContextual"/>
        </w:rPr>
      </w:pPr>
      <w:r w:rsidRPr="003E2A61">
        <w:rPr>
          <w:rFonts w:eastAsia="Aptos"/>
          <w:b/>
          <w:bCs/>
          <w:i/>
          <w:iCs/>
          <w:kern w:val="2"/>
          <w:lang w:val="en-US"/>
          <w14:ligatures w14:val="standardContextual"/>
        </w:rPr>
        <w:t>Implications for Practice</w:t>
      </w:r>
    </w:p>
    <w:p w14:paraId="3C10B961" w14:textId="44F7FBF8"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For practitioners and PD facilitators, selecting and introducing technologies should extend beyond mere tool exposure to explicitly modeling effective instructional integration strategies. Special educators will </w:t>
      </w:r>
      <w:r w:rsidR="008B065F" w:rsidRPr="003E2A61">
        <w:rPr>
          <w:rFonts w:eastAsia="Aptos"/>
          <w:kern w:val="2"/>
          <w:lang w:val="en-US"/>
          <w14:ligatures w14:val="standardContextual"/>
        </w:rPr>
        <w:t>receive help</w:t>
      </w:r>
      <w:r w:rsidRPr="003E2A61">
        <w:rPr>
          <w:rFonts w:eastAsia="Aptos"/>
          <w:kern w:val="2"/>
          <w:lang w:val="en-US"/>
          <w14:ligatures w14:val="standardContextual"/>
        </w:rPr>
        <w:t xml:space="preserve"> from PD showing how technology can be seamlessly embedded into daily instructional routines and differentiated to meet diverse student needs. Furthermore, schools could consider ongoing follow-up and coaching support to help teachers sustain and iterate on their technology integration practices, moving beyond initial training toward continuous instructional improvement.</w:t>
      </w:r>
    </w:p>
    <w:p w14:paraId="68A4A064" w14:textId="77777777" w:rsidR="003E2A61" w:rsidRPr="003E2A61" w:rsidRDefault="003E2A61" w:rsidP="003E2A61">
      <w:pPr>
        <w:spacing w:line="480" w:lineRule="auto"/>
        <w:outlineLvl w:val="1"/>
        <w:rPr>
          <w:rFonts w:eastAsia="Aptos"/>
          <w:b/>
          <w:bCs/>
          <w:kern w:val="2"/>
          <w:lang w:val="en-US"/>
          <w14:ligatures w14:val="standardContextual"/>
        </w:rPr>
      </w:pPr>
      <w:r w:rsidRPr="003E2A61">
        <w:rPr>
          <w:rFonts w:eastAsia="Aptos"/>
          <w:b/>
          <w:bCs/>
          <w:kern w:val="2"/>
          <w:lang w:val="en-US"/>
          <w14:ligatures w14:val="standardContextual"/>
        </w:rPr>
        <w:t>Limitations</w:t>
      </w:r>
    </w:p>
    <w:p w14:paraId="0EAA1A96" w14:textId="35B6D2D1"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There are </w:t>
      </w:r>
      <w:proofErr w:type="gramStart"/>
      <w:r w:rsidRPr="003E2A61">
        <w:rPr>
          <w:rFonts w:eastAsia="Aptos"/>
          <w:kern w:val="2"/>
          <w:lang w:val="en-US"/>
          <w14:ligatures w14:val="standardContextual"/>
        </w:rPr>
        <w:t>several</w:t>
      </w:r>
      <w:proofErr w:type="gramEnd"/>
      <w:r w:rsidRPr="003E2A61">
        <w:rPr>
          <w:rFonts w:eastAsia="Aptos"/>
          <w:kern w:val="2"/>
          <w:lang w:val="en-US"/>
          <w14:ligatures w14:val="standardContextual"/>
        </w:rPr>
        <w:t xml:space="preserve"> methodological and conceptual limitations when interpreting the findings of this descriptive review. First, we had an intentionally focused scope of the review on studies</w:t>
      </w:r>
      <w:r w:rsidR="00B81C4C">
        <w:rPr>
          <w:rFonts w:eastAsia="Aptos"/>
          <w:kern w:val="2"/>
          <w:lang w:val="en-US"/>
          <w14:ligatures w14:val="standardContextual"/>
        </w:rPr>
        <w:t xml:space="preserve"> and grey </w:t>
      </w:r>
      <w:proofErr w:type="spellStart"/>
      <w:r w:rsidR="00B81C4C">
        <w:rPr>
          <w:rFonts w:eastAsia="Aptos"/>
          <w:kern w:val="2"/>
          <w:lang w:val="en-US"/>
          <w14:ligatures w14:val="standardContextual"/>
        </w:rPr>
        <w:t xml:space="preserve">literature </w:t>
      </w:r>
      <w:r w:rsidRPr="003E2A61">
        <w:rPr>
          <w:rFonts w:eastAsia="Aptos"/>
          <w:kern w:val="2"/>
          <w:lang w:val="en-US"/>
          <w14:ligatures w14:val="standardContextual"/>
        </w:rPr>
        <w:t>published</w:t>
      </w:r>
      <w:proofErr w:type="spellEnd"/>
      <w:r w:rsidRPr="003E2A61">
        <w:rPr>
          <w:rFonts w:eastAsia="Aptos"/>
          <w:kern w:val="2"/>
          <w:lang w:val="en-US"/>
          <w14:ligatures w14:val="standardContextual"/>
        </w:rPr>
        <w:t xml:space="preserve"> within a defined range of years and limited to U.S.-based contexts, potentially omitting relevant research conducted in international contexts. This inclusion criteria might limit the generalizability of findings or overlook perspectives from broader geographic or educational contexts.</w:t>
      </w:r>
      <w:r w:rsidR="008B065F">
        <w:rPr>
          <w:rFonts w:eastAsia="Aptos"/>
          <w:kern w:val="2"/>
          <w:lang w:val="en-US"/>
          <w14:ligatures w14:val="standardContextual"/>
        </w:rPr>
        <w:t xml:space="preserve"> This limitation in scope is also limited by the </w:t>
      </w:r>
      <w:r w:rsidR="00C120FF">
        <w:rPr>
          <w:rFonts w:eastAsia="Aptos"/>
          <w:kern w:val="2"/>
          <w:lang w:val="en-US"/>
          <w14:ligatures w14:val="standardContextual"/>
        </w:rPr>
        <w:t>number of databases included</w:t>
      </w:r>
      <w:r w:rsidR="00B81C4C">
        <w:rPr>
          <w:rFonts w:eastAsia="Aptos"/>
          <w:kern w:val="2"/>
          <w:lang w:val="en-US"/>
          <w14:ligatures w14:val="standardContextual"/>
        </w:rPr>
        <w:t xml:space="preserve"> in our search</w:t>
      </w:r>
      <w:r w:rsidR="00C120FF">
        <w:rPr>
          <w:rFonts w:eastAsia="Aptos"/>
          <w:kern w:val="2"/>
          <w:lang w:val="en-US"/>
          <w14:ligatures w14:val="standardContextual"/>
        </w:rPr>
        <w:t>, as more records may have been found through the addition of other</w:t>
      </w:r>
      <w:r w:rsidR="00FE0911">
        <w:rPr>
          <w:rFonts w:eastAsia="Aptos"/>
          <w:kern w:val="2"/>
          <w:lang w:val="en-US"/>
          <w14:ligatures w14:val="standardContextual"/>
        </w:rPr>
        <w:t xml:space="preserve"> databases</w:t>
      </w:r>
      <w:r w:rsidR="00C120FF">
        <w:rPr>
          <w:rFonts w:eastAsia="Aptos"/>
          <w:kern w:val="2"/>
          <w:lang w:val="en-US"/>
          <w14:ligatures w14:val="standardContextual"/>
        </w:rPr>
        <w:t>.</w:t>
      </w:r>
    </w:p>
    <w:p w14:paraId="2ECAA271" w14:textId="0976B577"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lastRenderedPageBreak/>
        <w:t xml:space="preserve">Second, due to the descriptive and narrative nature of the synthesis, no quantitative meta-analysis was conducted. Thus, findings are limited to descriptive trends, without the </w:t>
      </w:r>
      <w:r w:rsidR="00C120FF" w:rsidRPr="003E2A61">
        <w:rPr>
          <w:rFonts w:eastAsia="Aptos"/>
          <w:kern w:val="2"/>
          <w:lang w:val="en-US"/>
          <w14:ligatures w14:val="standardContextual"/>
        </w:rPr>
        <w:t>ability</w:t>
      </w:r>
      <w:r w:rsidRPr="003E2A61">
        <w:rPr>
          <w:rFonts w:eastAsia="Aptos"/>
          <w:kern w:val="2"/>
          <w:lang w:val="en-US"/>
          <w14:ligatures w14:val="standardContextual"/>
        </w:rPr>
        <w:t xml:space="preserve"> to </w:t>
      </w:r>
      <w:r w:rsidR="00C120FF">
        <w:rPr>
          <w:rFonts w:eastAsia="Aptos"/>
          <w:kern w:val="2"/>
          <w:lang w:val="en-US"/>
          <w14:ligatures w14:val="standardContextual"/>
        </w:rPr>
        <w:t>examine</w:t>
      </w:r>
      <w:r w:rsidRPr="003E2A61">
        <w:rPr>
          <w:rFonts w:eastAsia="Aptos"/>
          <w:kern w:val="2"/>
          <w:lang w:val="en-US"/>
          <w14:ligatures w14:val="standardContextual"/>
        </w:rPr>
        <w:t xml:space="preserve"> effect sizes or comparative effectiveness among different PD elements or technologies.</w:t>
      </w:r>
    </w:p>
    <w:p w14:paraId="2EC69A80" w14:textId="432922D1"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Third, substantial variability was clear in the level of detail reported across studies </w:t>
      </w:r>
      <w:r w:rsidR="00C120FF" w:rsidRPr="003E2A61">
        <w:rPr>
          <w:rFonts w:eastAsia="Aptos"/>
          <w:kern w:val="2"/>
          <w:lang w:val="en-US"/>
          <w14:ligatures w14:val="standardContextual"/>
        </w:rPr>
        <w:t>on</w:t>
      </w:r>
      <w:r w:rsidRPr="003E2A61">
        <w:rPr>
          <w:rFonts w:eastAsia="Aptos"/>
          <w:kern w:val="2"/>
          <w:lang w:val="en-US"/>
          <w14:ligatures w14:val="standardContextual"/>
        </w:rPr>
        <w:t xml:space="preserve"> </w:t>
      </w:r>
      <w:r w:rsidR="00C120FF">
        <w:rPr>
          <w:rFonts w:eastAsia="Aptos"/>
          <w:kern w:val="2"/>
          <w:lang w:val="en-US"/>
          <w14:ligatures w14:val="standardContextual"/>
        </w:rPr>
        <w:t xml:space="preserve">our chosen coded variables of </w:t>
      </w:r>
      <w:r w:rsidRPr="003E2A61">
        <w:rPr>
          <w:rFonts w:eastAsia="Aptos"/>
          <w:kern w:val="2"/>
          <w:lang w:val="en-US"/>
          <w14:ligatures w14:val="standardContextual"/>
        </w:rPr>
        <w:t xml:space="preserve">PD implementation fidelity, teacher characteristics, and technology integration strategies. </w:t>
      </w:r>
      <w:r w:rsidR="00C120FF">
        <w:rPr>
          <w:rFonts w:eastAsia="Aptos"/>
          <w:kern w:val="2"/>
          <w:lang w:val="en-US"/>
          <w14:ligatures w14:val="standardContextual"/>
        </w:rPr>
        <w:t>S</w:t>
      </w:r>
      <w:r w:rsidRPr="003E2A61">
        <w:rPr>
          <w:rFonts w:eastAsia="Aptos"/>
          <w:kern w:val="2"/>
          <w:lang w:val="en-US"/>
          <w14:ligatures w14:val="standardContextual"/>
        </w:rPr>
        <w:t>tudies lacked detailed reporting on the duration, depth, and consistency of implementation, hindering comprehensive synthesis and limiting the ability to draw robust conclusions on effectiveness</w:t>
      </w:r>
      <w:r w:rsidR="00C120FF">
        <w:rPr>
          <w:rFonts w:eastAsia="Aptos"/>
          <w:kern w:val="2"/>
          <w:lang w:val="en-US"/>
          <w14:ligatures w14:val="standardContextual"/>
        </w:rPr>
        <w:t xml:space="preserve"> without examining </w:t>
      </w:r>
      <w:r w:rsidR="008F70FD">
        <w:rPr>
          <w:rFonts w:eastAsia="Aptos"/>
          <w:kern w:val="2"/>
          <w:lang w:val="en-US"/>
          <w14:ligatures w14:val="standardContextual"/>
        </w:rPr>
        <w:t>add</w:t>
      </w:r>
      <w:r w:rsidR="008C54AC">
        <w:rPr>
          <w:rFonts w:eastAsia="Aptos"/>
          <w:kern w:val="2"/>
          <w:lang w:val="en-US"/>
          <w14:ligatures w14:val="standardContextual"/>
        </w:rPr>
        <w:t>itional</w:t>
      </w:r>
      <w:r w:rsidR="00C120FF">
        <w:rPr>
          <w:rFonts w:eastAsia="Aptos"/>
          <w:kern w:val="2"/>
          <w:lang w:val="en-US"/>
          <w14:ligatures w14:val="standardContextual"/>
        </w:rPr>
        <w:t xml:space="preserve"> </w:t>
      </w:r>
      <w:r w:rsidR="00ED1D40">
        <w:rPr>
          <w:rFonts w:eastAsia="Aptos"/>
          <w:kern w:val="2"/>
          <w:lang w:val="en-US"/>
          <w14:ligatures w14:val="standardContextual"/>
        </w:rPr>
        <w:t>data</w:t>
      </w:r>
      <w:r w:rsidR="008C54AC">
        <w:rPr>
          <w:rFonts w:eastAsia="Aptos"/>
          <w:kern w:val="2"/>
          <w:lang w:val="en-US"/>
          <w14:ligatures w14:val="standardContextual"/>
        </w:rPr>
        <w:t xml:space="preserve"> </w:t>
      </w:r>
      <w:r w:rsidR="00ED1D40">
        <w:rPr>
          <w:rFonts w:eastAsia="Aptos"/>
          <w:kern w:val="2"/>
          <w:lang w:val="en-US"/>
          <w14:ligatures w14:val="standardContextual"/>
        </w:rPr>
        <w:t>points.</w:t>
      </w:r>
    </w:p>
    <w:p w14:paraId="1421E4FD" w14:textId="7CA3B1FB"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Lastly, inherent publication bias may influence the results, as studies reporting positive outcomes or comprehensive PD designs might be more likely to reach publication than studies with inconclusive or negative findings. This bias could contribute to an overly optimistic portrayal of PD effectiveness in integrating </w:t>
      </w:r>
      <w:r w:rsidR="009A2CB5">
        <w:rPr>
          <w:rFonts w:eastAsia="Aptos"/>
          <w:kern w:val="2"/>
          <w:lang w:val="en-US"/>
          <w14:ligatures w14:val="standardContextual"/>
        </w:rPr>
        <w:t>ET</w:t>
      </w:r>
      <w:r w:rsidRPr="003E2A61">
        <w:rPr>
          <w:rFonts w:eastAsia="Aptos"/>
          <w:kern w:val="2"/>
          <w:lang w:val="en-US"/>
          <w14:ligatures w14:val="standardContextual"/>
        </w:rPr>
        <w:t>.</w:t>
      </w:r>
    </w:p>
    <w:p w14:paraId="735A7222" w14:textId="77777777"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These limitations suggest that the findings presented should be interpreted with caution, underscoring the importance of ongoing research with more rigorous and comprehensive documentation of PD processes and outcomes.</w:t>
      </w:r>
    </w:p>
    <w:p w14:paraId="6FD97357" w14:textId="77777777" w:rsidR="003E2A61" w:rsidRPr="003E2A61" w:rsidRDefault="003E2A61" w:rsidP="003E2A61">
      <w:pPr>
        <w:spacing w:line="480" w:lineRule="auto"/>
        <w:outlineLvl w:val="1"/>
        <w:rPr>
          <w:rFonts w:eastAsia="Aptos"/>
          <w:b/>
          <w:bCs/>
          <w:kern w:val="2"/>
          <w:lang w:val="en-US"/>
          <w14:ligatures w14:val="standardContextual"/>
        </w:rPr>
      </w:pPr>
      <w:r w:rsidRPr="003E2A61">
        <w:rPr>
          <w:rFonts w:eastAsia="Aptos"/>
          <w:b/>
          <w:bCs/>
          <w:kern w:val="2"/>
          <w:lang w:val="en-US"/>
          <w14:ligatures w14:val="standardContextual"/>
        </w:rPr>
        <w:t>Conclusion</w:t>
      </w:r>
    </w:p>
    <w:p w14:paraId="042ACD84" w14:textId="4631ACAB"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This</w:t>
      </w:r>
      <w:r w:rsidR="00A0610D">
        <w:rPr>
          <w:rFonts w:eastAsia="Aptos"/>
          <w:kern w:val="2"/>
          <w:lang w:val="en-US"/>
          <w14:ligatures w14:val="standardContextual"/>
        </w:rPr>
        <w:t xml:space="preserve"> narrative</w:t>
      </w:r>
      <w:r w:rsidRPr="003E2A61">
        <w:rPr>
          <w:rFonts w:eastAsia="Aptos"/>
          <w:kern w:val="2"/>
          <w:lang w:val="en-US"/>
          <w14:ligatures w14:val="standardContextual"/>
        </w:rPr>
        <w:t xml:space="preserve"> descriptive review synthesized existing research on PD aimed at enhancing special education teachers’ integration of ET. The review highlighted important gaps, notably the inconsistent reporting of participant demographics, limited detail on the sustained implementation of PD components, and varied documentation of ongoing coaching of specific ET integration strategies.</w:t>
      </w:r>
    </w:p>
    <w:p w14:paraId="791AECA2" w14:textId="517177BF"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The findings </w:t>
      </w:r>
      <w:r w:rsidR="00ED1D40">
        <w:rPr>
          <w:rFonts w:eastAsia="Aptos"/>
          <w:kern w:val="2"/>
          <w:lang w:val="en-US"/>
          <w14:ligatures w14:val="standardContextual"/>
        </w:rPr>
        <w:t>emphasize</w:t>
      </w:r>
      <w:r w:rsidRPr="003E2A61">
        <w:rPr>
          <w:rFonts w:eastAsia="Aptos"/>
          <w:kern w:val="2"/>
          <w:lang w:val="en-US"/>
          <w14:ligatures w14:val="standardContextual"/>
        </w:rPr>
        <w:t xml:space="preserve"> the necessity for future research to focus on systematic, detailed documentation of PD implementation fidelity, teacher demographics, and longitudinal </w:t>
      </w:r>
      <w:r w:rsidRPr="003E2A61">
        <w:rPr>
          <w:rFonts w:eastAsia="Aptos"/>
          <w:kern w:val="2"/>
          <w:lang w:val="en-US"/>
          <w14:ligatures w14:val="standardContextual"/>
        </w:rPr>
        <w:lastRenderedPageBreak/>
        <w:t xml:space="preserve">integration strategies for educational technologies. The mere inclusion of Darling-Hammond et al.’s (2017) PD elements does not inherently </w:t>
      </w:r>
      <w:r w:rsidR="00ED1D40">
        <w:rPr>
          <w:rFonts w:eastAsia="Aptos"/>
          <w:kern w:val="2"/>
          <w:lang w:val="en-US"/>
          <w14:ligatures w14:val="standardContextual"/>
        </w:rPr>
        <w:t>foster</w:t>
      </w:r>
      <w:r w:rsidRPr="003E2A61">
        <w:rPr>
          <w:rFonts w:eastAsia="Aptos"/>
          <w:kern w:val="2"/>
          <w:lang w:val="en-US"/>
          <w14:ligatures w14:val="standardContextual"/>
        </w:rPr>
        <w:t xml:space="preserve"> meaningful </w:t>
      </w:r>
      <w:r w:rsidR="00ED1D40">
        <w:rPr>
          <w:rFonts w:eastAsia="Aptos"/>
          <w:kern w:val="2"/>
          <w:lang w:val="en-US"/>
          <w14:ligatures w14:val="standardContextual"/>
        </w:rPr>
        <w:t>teacher</w:t>
      </w:r>
      <w:r w:rsidRPr="003E2A61">
        <w:rPr>
          <w:rFonts w:eastAsia="Aptos"/>
          <w:kern w:val="2"/>
          <w:lang w:val="en-US"/>
          <w14:ligatures w14:val="standardContextual"/>
        </w:rPr>
        <w:t xml:space="preserve"> change or measurable impacts on student outcomes. In these studies, the presence of “coaching” varied, from single-session consultations to ongoing, structured coaching relationships. Thus, even PD programs dichotomously aligned with recommended framework elements may not necessarily produce substantial, lasting instructional improvement.</w:t>
      </w:r>
    </w:p>
    <w:p w14:paraId="18F4FF16" w14:textId="3F485968" w:rsidR="003E2A61" w:rsidRPr="003E2A61" w:rsidRDefault="003E2A61" w:rsidP="003E2A61">
      <w:pPr>
        <w:spacing w:line="480" w:lineRule="auto"/>
        <w:ind w:firstLine="720"/>
        <w:rPr>
          <w:rFonts w:eastAsia="Aptos"/>
          <w:kern w:val="2"/>
          <w:lang w:val="en-US"/>
          <w14:ligatures w14:val="standardContextual"/>
        </w:rPr>
      </w:pPr>
      <w:r w:rsidRPr="003E2A61">
        <w:rPr>
          <w:rFonts w:eastAsia="Aptos"/>
          <w:kern w:val="2"/>
          <w:lang w:val="en-US"/>
          <w14:ligatures w14:val="standardContextual"/>
        </w:rPr>
        <w:t xml:space="preserve">For practitioners and PD developers, these results emphasize the importance of designing and providing </w:t>
      </w:r>
      <w:r w:rsidR="00ED1D40" w:rsidRPr="003E2A61">
        <w:rPr>
          <w:rFonts w:eastAsia="Aptos"/>
          <w:kern w:val="2"/>
          <w:lang w:val="en-US"/>
          <w14:ligatures w14:val="standardContextual"/>
        </w:rPr>
        <w:t xml:space="preserve">meaningful and authentic </w:t>
      </w:r>
      <w:r w:rsidRPr="003E2A61">
        <w:rPr>
          <w:rFonts w:eastAsia="Aptos"/>
          <w:kern w:val="2"/>
          <w:lang w:val="en-US"/>
          <w14:ligatures w14:val="standardContextual"/>
        </w:rPr>
        <w:t>PD experiences that integrate multiple evidence-based elements</w:t>
      </w:r>
      <w:r w:rsidR="00ED1D40">
        <w:rPr>
          <w:rFonts w:eastAsia="Aptos"/>
          <w:kern w:val="2"/>
          <w:lang w:val="en-US"/>
          <w14:ligatures w14:val="standardContextual"/>
        </w:rPr>
        <w:t xml:space="preserve"> </w:t>
      </w:r>
      <w:r w:rsidR="00780385">
        <w:rPr>
          <w:rFonts w:eastAsia="Aptos"/>
          <w:kern w:val="2"/>
          <w:lang w:val="en-US"/>
          <w14:ligatures w14:val="standardContextual"/>
        </w:rPr>
        <w:t>to</w:t>
      </w:r>
      <w:r w:rsidRPr="003E2A61">
        <w:rPr>
          <w:rFonts w:eastAsia="Aptos"/>
          <w:kern w:val="2"/>
          <w:lang w:val="en-US"/>
          <w14:ligatures w14:val="standardContextual"/>
        </w:rPr>
        <w:t xml:space="preserve"> foster</w:t>
      </w:r>
      <w:r w:rsidR="00780385">
        <w:rPr>
          <w:rFonts w:eastAsia="Aptos"/>
          <w:kern w:val="2"/>
          <w:lang w:val="en-US"/>
          <w14:ligatures w14:val="standardContextual"/>
        </w:rPr>
        <w:t xml:space="preserve"> equally meaningful and authentic</w:t>
      </w:r>
      <w:r w:rsidRPr="003E2A61">
        <w:rPr>
          <w:rFonts w:eastAsia="Aptos"/>
          <w:kern w:val="2"/>
          <w:lang w:val="en-US"/>
          <w14:ligatures w14:val="standardContextual"/>
        </w:rPr>
        <w:t xml:space="preserve"> instructional changes. Addressing these gaps will support the use of PD programs that effectively prepare special educators to </w:t>
      </w:r>
      <w:r w:rsidR="00167F63" w:rsidRPr="003E2A61">
        <w:rPr>
          <w:rFonts w:eastAsia="Aptos"/>
          <w:kern w:val="2"/>
          <w:lang w:val="en-US"/>
          <w14:ligatures w14:val="standardContextual"/>
        </w:rPr>
        <w:t>use</w:t>
      </w:r>
      <w:r w:rsidRPr="003E2A61">
        <w:rPr>
          <w:rFonts w:eastAsia="Aptos"/>
          <w:kern w:val="2"/>
          <w:lang w:val="en-US"/>
          <w14:ligatures w14:val="standardContextual"/>
        </w:rPr>
        <w:t xml:space="preserve"> ET on an ongoing basis, thus enhancing learning outcomes for SWD.</w:t>
      </w:r>
    </w:p>
    <w:p w14:paraId="372712D8" w14:textId="77777777" w:rsidR="0085399E" w:rsidRDefault="0085399E" w:rsidP="00332169">
      <w:pPr>
        <w:sectPr w:rsidR="0085399E" w:rsidSect="00D16C24">
          <w:headerReference w:type="even" r:id="rId14"/>
          <w:headerReference w:type="default" r:id="rId15"/>
          <w:headerReference w:type="first" r:id="rId16"/>
          <w:pgSz w:w="12240" w:h="15840"/>
          <w:pgMar w:top="1440" w:right="1440" w:bottom="1440" w:left="1440" w:header="720" w:footer="720" w:gutter="0"/>
          <w:pgNumType w:start="1"/>
          <w:cols w:space="720"/>
          <w:titlePg/>
          <w:docGrid w:linePitch="326"/>
        </w:sectPr>
      </w:pPr>
    </w:p>
    <w:p w14:paraId="48911678" w14:textId="76EBCA60" w:rsidR="00AE4568" w:rsidRDefault="006E4D8D" w:rsidP="00AE4568">
      <w:pPr>
        <w:pStyle w:val="Heading2"/>
      </w:pPr>
      <w:r>
        <w:lastRenderedPageBreak/>
        <w:t>Table 1</w:t>
      </w:r>
    </w:p>
    <w:p w14:paraId="55C5B659" w14:textId="7834E3EE" w:rsidR="009F4811" w:rsidRDefault="00AE4568" w:rsidP="00AE4568">
      <w:pPr>
        <w:rPr>
          <w:i/>
          <w:iCs/>
        </w:rPr>
      </w:pPr>
      <w:r w:rsidRPr="00AE4568">
        <w:rPr>
          <w:i/>
          <w:iCs/>
        </w:rPr>
        <w:t>Seven Foundational Elements of Successful Teacher Professional Development</w:t>
      </w:r>
      <w:r w:rsidR="00390390">
        <w:rPr>
          <w:i/>
          <w:iCs/>
        </w:rPr>
        <w:t xml:space="preserve"> (PD)</w:t>
      </w:r>
    </w:p>
    <w:p w14:paraId="3ED7EF3B" w14:textId="77777777" w:rsidR="00577BBE" w:rsidRPr="00577BBE" w:rsidRDefault="00577BBE" w:rsidP="00AE4568">
      <w:pPr>
        <w:rPr>
          <w:i/>
          <w:iCs/>
          <w:strike/>
        </w:rPr>
      </w:pPr>
    </w:p>
    <w:tbl>
      <w:tblPr>
        <w:tblW w:w="9360" w:type="dxa"/>
        <w:tblCellMar>
          <w:left w:w="100" w:type="dxa"/>
          <w:right w:w="100" w:type="dxa"/>
        </w:tblCellMar>
        <w:tblLook w:val="0000" w:firstRow="0" w:lastRow="0" w:firstColumn="0" w:lastColumn="0" w:noHBand="0" w:noVBand="0"/>
      </w:tblPr>
      <w:tblGrid>
        <w:gridCol w:w="1800"/>
        <w:gridCol w:w="3600"/>
        <w:gridCol w:w="3960"/>
      </w:tblGrid>
      <w:tr w:rsidR="00E15F2F" w14:paraId="07A86692" w14:textId="77777777" w:rsidTr="009B686A">
        <w:tc>
          <w:tcPr>
            <w:tcW w:w="1800" w:type="dxa"/>
            <w:tcBorders>
              <w:top w:val="single" w:sz="12" w:space="0" w:color="000000" w:themeColor="text1"/>
              <w:bottom w:val="single" w:sz="12" w:space="0" w:color="000000" w:themeColor="text1"/>
            </w:tcBorders>
          </w:tcPr>
          <w:p w14:paraId="78739B1C" w14:textId="62E54409" w:rsidR="00775165" w:rsidRPr="00FF6CA5" w:rsidRDefault="00775165" w:rsidP="00D50738">
            <w:pPr>
              <w:tabs>
                <w:tab w:val="left" w:pos="360"/>
                <w:tab w:val="left" w:pos="720"/>
                <w:tab w:val="left" w:pos="1080"/>
                <w:tab w:val="left" w:pos="1440"/>
                <w:tab w:val="left" w:pos="1800"/>
                <w:tab w:val="left" w:pos="2160"/>
                <w:tab w:val="left" w:pos="2880"/>
                <w:tab w:val="left" w:pos="3600"/>
                <w:tab w:val="left" w:pos="4320"/>
              </w:tabs>
              <w:spacing w:line="240" w:lineRule="auto"/>
              <w:ind w:left="216" w:hanging="216"/>
              <w:jc w:val="center"/>
              <w:rPr>
                <w:sz w:val="20"/>
                <w:szCs w:val="20"/>
              </w:rPr>
            </w:pPr>
            <w:r w:rsidRPr="00FF6CA5">
              <w:rPr>
                <w:color w:val="141516"/>
                <w:sz w:val="20"/>
                <w:szCs w:val="20"/>
              </w:rPr>
              <w:t>Element</w:t>
            </w:r>
            <w:r w:rsidR="00155473" w:rsidRPr="00FF6CA5">
              <w:rPr>
                <w:color w:val="141516"/>
                <w:sz w:val="20"/>
                <w:szCs w:val="20"/>
              </w:rPr>
              <w:t xml:space="preserve"> of Effective P</w:t>
            </w:r>
            <w:r w:rsidR="00390390" w:rsidRPr="00FF6CA5">
              <w:rPr>
                <w:color w:val="141516"/>
                <w:sz w:val="20"/>
                <w:szCs w:val="20"/>
              </w:rPr>
              <w:t>D</w:t>
            </w:r>
          </w:p>
        </w:tc>
        <w:tc>
          <w:tcPr>
            <w:tcW w:w="3600" w:type="dxa"/>
            <w:tcBorders>
              <w:top w:val="single" w:sz="12" w:space="0" w:color="000000" w:themeColor="text1"/>
              <w:bottom w:val="single" w:sz="12" w:space="0" w:color="000000" w:themeColor="text1"/>
            </w:tcBorders>
          </w:tcPr>
          <w:p w14:paraId="0612692D" w14:textId="132BE159" w:rsidR="00775165" w:rsidRPr="00FF6CA5" w:rsidRDefault="00DF1064" w:rsidP="00D50738">
            <w:pPr>
              <w:tabs>
                <w:tab w:val="left" w:pos="360"/>
                <w:tab w:val="left" w:pos="720"/>
                <w:tab w:val="left" w:pos="1080"/>
                <w:tab w:val="left" w:pos="1440"/>
                <w:tab w:val="left" w:pos="1800"/>
                <w:tab w:val="left" w:pos="2160"/>
                <w:tab w:val="left" w:pos="2880"/>
                <w:tab w:val="left" w:pos="3600"/>
                <w:tab w:val="left" w:pos="4320"/>
              </w:tabs>
              <w:spacing w:line="240" w:lineRule="auto"/>
              <w:ind w:left="216" w:hanging="216"/>
              <w:rPr>
                <w:sz w:val="20"/>
                <w:szCs w:val="20"/>
              </w:rPr>
            </w:pPr>
            <w:r>
              <w:rPr>
                <w:color w:val="141516"/>
                <w:sz w:val="20"/>
                <w:szCs w:val="20"/>
              </w:rPr>
              <w:t xml:space="preserve">Summary of </w:t>
            </w:r>
            <w:r w:rsidR="009B3243" w:rsidRPr="00FF6CA5">
              <w:rPr>
                <w:color w:val="141516"/>
                <w:sz w:val="20"/>
                <w:szCs w:val="20"/>
              </w:rPr>
              <w:t xml:space="preserve">Description </w:t>
            </w:r>
            <w:r>
              <w:rPr>
                <w:color w:val="141516"/>
                <w:sz w:val="20"/>
                <w:szCs w:val="20"/>
              </w:rPr>
              <w:t xml:space="preserve">from </w:t>
            </w:r>
            <w:r w:rsidR="009B3243" w:rsidRPr="00FF6CA5">
              <w:rPr>
                <w:color w:val="141516"/>
                <w:sz w:val="20"/>
                <w:szCs w:val="20"/>
              </w:rPr>
              <w:t>(Darling-Hammond</w:t>
            </w:r>
            <w:r w:rsidR="00D50738">
              <w:rPr>
                <w:color w:val="141516"/>
                <w:sz w:val="20"/>
                <w:szCs w:val="20"/>
              </w:rPr>
              <w:t xml:space="preserve"> et al.</w:t>
            </w:r>
            <w:r w:rsidR="009B3243" w:rsidRPr="00FF6CA5">
              <w:rPr>
                <w:color w:val="141516"/>
                <w:sz w:val="20"/>
                <w:szCs w:val="20"/>
              </w:rPr>
              <w:t>, 2017)</w:t>
            </w:r>
          </w:p>
        </w:tc>
        <w:tc>
          <w:tcPr>
            <w:tcW w:w="3960" w:type="dxa"/>
            <w:tcBorders>
              <w:top w:val="single" w:sz="12" w:space="0" w:color="000000" w:themeColor="text1"/>
              <w:bottom w:val="single" w:sz="12" w:space="0" w:color="000000" w:themeColor="text1"/>
            </w:tcBorders>
          </w:tcPr>
          <w:p w14:paraId="0B599B53" w14:textId="1EE6F8E4" w:rsidR="00775165" w:rsidRPr="00FF6CA5" w:rsidRDefault="00485EB2" w:rsidP="00D50738">
            <w:pPr>
              <w:tabs>
                <w:tab w:val="left" w:pos="360"/>
                <w:tab w:val="left" w:pos="720"/>
                <w:tab w:val="left" w:pos="1080"/>
                <w:tab w:val="left" w:pos="1440"/>
                <w:tab w:val="left" w:pos="1800"/>
                <w:tab w:val="left" w:pos="2160"/>
                <w:tab w:val="left" w:pos="2880"/>
                <w:tab w:val="left" w:pos="3600"/>
                <w:tab w:val="left" w:pos="4320"/>
              </w:tabs>
              <w:spacing w:line="240" w:lineRule="auto"/>
              <w:ind w:left="216" w:hanging="216"/>
              <w:rPr>
                <w:sz w:val="20"/>
                <w:szCs w:val="20"/>
              </w:rPr>
            </w:pPr>
            <w:r>
              <w:rPr>
                <w:color w:val="141516"/>
                <w:sz w:val="20"/>
                <w:szCs w:val="20"/>
              </w:rPr>
              <w:t xml:space="preserve">Example of Potential </w:t>
            </w:r>
            <w:r w:rsidR="00E103F1" w:rsidRPr="00FF6CA5">
              <w:rPr>
                <w:color w:val="141516"/>
                <w:sz w:val="20"/>
                <w:szCs w:val="20"/>
              </w:rPr>
              <w:t>Special Education Technology Context</w:t>
            </w:r>
          </w:p>
        </w:tc>
      </w:tr>
      <w:tr w:rsidR="00E15F2F" w14:paraId="387138BB" w14:textId="77777777" w:rsidTr="009B686A">
        <w:tc>
          <w:tcPr>
            <w:tcW w:w="1800" w:type="dxa"/>
            <w:tcBorders>
              <w:top w:val="single" w:sz="12" w:space="0" w:color="000000" w:themeColor="text1"/>
            </w:tcBorders>
          </w:tcPr>
          <w:p w14:paraId="627390FB" w14:textId="77777777"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Content Focus</w:t>
            </w:r>
          </w:p>
        </w:tc>
        <w:tc>
          <w:tcPr>
            <w:tcW w:w="3600" w:type="dxa"/>
            <w:tcBorders>
              <w:top w:val="single" w:sz="12" w:space="0" w:color="000000" w:themeColor="text1"/>
            </w:tcBorders>
          </w:tcPr>
          <w:p w14:paraId="068DD1E4" w14:textId="1B651705" w:rsidR="00775165" w:rsidRPr="00FF6CA5" w:rsidRDefault="00786F3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Pr>
                <w:sz w:val="20"/>
                <w:szCs w:val="20"/>
              </w:rPr>
              <w:t>F</w:t>
            </w:r>
            <w:r w:rsidR="009B3243" w:rsidRPr="00FF6CA5">
              <w:rPr>
                <w:sz w:val="20"/>
                <w:szCs w:val="20"/>
              </w:rPr>
              <w:t>ocuses on teaching strategies associated with specific curriculum content within teachers’ classroom contexts.</w:t>
            </w:r>
          </w:p>
        </w:tc>
        <w:tc>
          <w:tcPr>
            <w:tcW w:w="3960" w:type="dxa"/>
            <w:tcBorders>
              <w:top w:val="single" w:sz="12" w:space="0" w:color="000000" w:themeColor="text1"/>
            </w:tcBorders>
          </w:tcPr>
          <w:p w14:paraId="09B9D01A" w14:textId="38CC99E7" w:rsidR="00775165" w:rsidRPr="00FF6CA5" w:rsidRDefault="00734FCC"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sidRPr="00FF6CA5">
              <w:rPr>
                <w:sz w:val="20"/>
                <w:szCs w:val="20"/>
              </w:rPr>
              <w:t>A PD series helps special educators use screen readers and speech-to-text tools to support reading comprehension for students with dyslexia.</w:t>
            </w:r>
          </w:p>
        </w:tc>
      </w:tr>
      <w:tr w:rsidR="00E15F2F" w14:paraId="663F2E3A" w14:textId="77777777" w:rsidTr="009B686A">
        <w:tc>
          <w:tcPr>
            <w:tcW w:w="1800" w:type="dxa"/>
          </w:tcPr>
          <w:p w14:paraId="6A9A3C1E" w14:textId="77777777"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Active Learning</w:t>
            </w:r>
          </w:p>
        </w:tc>
        <w:tc>
          <w:tcPr>
            <w:tcW w:w="3600" w:type="dxa"/>
          </w:tcPr>
          <w:p w14:paraId="3A01311A" w14:textId="2A70A7F6" w:rsidR="00775165" w:rsidRPr="00FF6CA5" w:rsidRDefault="00786F3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Pr>
                <w:sz w:val="20"/>
                <w:szCs w:val="20"/>
              </w:rPr>
              <w:t>E</w:t>
            </w:r>
            <w:r w:rsidR="000F180A" w:rsidRPr="00FF6CA5">
              <w:rPr>
                <w:sz w:val="20"/>
                <w:szCs w:val="20"/>
              </w:rPr>
              <w:t>ngages teachers in designing and practicing new strategies, mirroring the student learning they will lead.</w:t>
            </w:r>
          </w:p>
        </w:tc>
        <w:tc>
          <w:tcPr>
            <w:tcW w:w="3960" w:type="dxa"/>
          </w:tcPr>
          <w:p w14:paraId="5AC582FE" w14:textId="1D5CDCA6" w:rsidR="00775165" w:rsidRPr="00FF6CA5" w:rsidRDefault="00846472"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sidRPr="00FF6CA5">
              <w:rPr>
                <w:sz w:val="20"/>
                <w:szCs w:val="20"/>
              </w:rPr>
              <w:t xml:space="preserve">Teachers engage </w:t>
            </w:r>
            <w:r w:rsidR="00417A62" w:rsidRPr="00FF6CA5">
              <w:rPr>
                <w:sz w:val="20"/>
                <w:szCs w:val="20"/>
              </w:rPr>
              <w:t>direct</w:t>
            </w:r>
            <w:r w:rsidR="00417A62">
              <w:rPr>
                <w:sz w:val="20"/>
                <w:szCs w:val="20"/>
              </w:rPr>
              <w:t>ly</w:t>
            </w:r>
            <w:r w:rsidRPr="00FF6CA5">
              <w:rPr>
                <w:sz w:val="20"/>
                <w:szCs w:val="20"/>
              </w:rPr>
              <w:t xml:space="preserve"> with </w:t>
            </w:r>
            <w:r w:rsidR="00104568">
              <w:rPr>
                <w:sz w:val="20"/>
                <w:szCs w:val="20"/>
              </w:rPr>
              <w:t>Augmentative and Alternative Communication</w:t>
            </w:r>
            <w:r w:rsidRPr="00FF6CA5">
              <w:rPr>
                <w:sz w:val="20"/>
                <w:szCs w:val="20"/>
              </w:rPr>
              <w:t xml:space="preserve"> (AAC) devices, developing lesson plans that incorporate voice output tools.</w:t>
            </w:r>
          </w:p>
        </w:tc>
      </w:tr>
      <w:tr w:rsidR="00E15F2F" w14:paraId="4A5A0830" w14:textId="77777777" w:rsidTr="009B686A">
        <w:tc>
          <w:tcPr>
            <w:tcW w:w="1800" w:type="dxa"/>
          </w:tcPr>
          <w:p w14:paraId="20DD4CC0" w14:textId="77777777"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Collaboration</w:t>
            </w:r>
          </w:p>
        </w:tc>
        <w:tc>
          <w:tcPr>
            <w:tcW w:w="3600" w:type="dxa"/>
          </w:tcPr>
          <w:p w14:paraId="64D627E2" w14:textId="09042F6E" w:rsidR="00775165" w:rsidRPr="00FF6CA5" w:rsidRDefault="00DE4067" w:rsidP="009B686A">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lang w:val="en-US"/>
              </w:rPr>
            </w:pPr>
            <w:r w:rsidRPr="009B686A">
              <w:rPr>
                <w:sz w:val="20"/>
                <w:szCs w:val="20"/>
                <w:lang w:val="en-US"/>
              </w:rPr>
              <w:t>Promotes teacher interaction and shared learning in job-embedded, often schoolwide or districtwide contexts.</w:t>
            </w:r>
          </w:p>
        </w:tc>
        <w:tc>
          <w:tcPr>
            <w:tcW w:w="3960" w:type="dxa"/>
          </w:tcPr>
          <w:p w14:paraId="06C4E38B" w14:textId="15D99FB9" w:rsidR="00775165" w:rsidRPr="00FF6CA5" w:rsidRDefault="00F50A5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sidRPr="00FF6CA5">
              <w:rPr>
                <w:sz w:val="20"/>
                <w:szCs w:val="20"/>
              </w:rPr>
              <w:t>Special education teams meet weekly to co-plan lessons using digital visual schedules and share implementation strategies across classrooms.</w:t>
            </w:r>
          </w:p>
        </w:tc>
      </w:tr>
      <w:tr w:rsidR="00E15F2F" w14:paraId="6C4B215E" w14:textId="77777777" w:rsidTr="009B686A">
        <w:tc>
          <w:tcPr>
            <w:tcW w:w="1800" w:type="dxa"/>
          </w:tcPr>
          <w:p w14:paraId="7AF8F838" w14:textId="77777777"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Use of Models and Modeling</w:t>
            </w:r>
          </w:p>
        </w:tc>
        <w:tc>
          <w:tcPr>
            <w:tcW w:w="3600" w:type="dxa"/>
          </w:tcPr>
          <w:p w14:paraId="3C5773EE" w14:textId="73A76D27" w:rsidR="00775165" w:rsidRPr="00FF6CA5" w:rsidRDefault="00786F3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Pr>
                <w:sz w:val="20"/>
                <w:szCs w:val="20"/>
              </w:rPr>
              <w:t>P</w:t>
            </w:r>
            <w:r w:rsidR="002933DA" w:rsidRPr="00FF6CA5">
              <w:rPr>
                <w:sz w:val="20"/>
                <w:szCs w:val="20"/>
              </w:rPr>
              <w:t>rovides examples of effective practice, including lesson plans, student work, or videos.</w:t>
            </w:r>
          </w:p>
        </w:tc>
        <w:tc>
          <w:tcPr>
            <w:tcW w:w="3960" w:type="dxa"/>
          </w:tcPr>
          <w:p w14:paraId="02074768" w14:textId="69F96E69" w:rsidR="00775165" w:rsidRPr="00FF6CA5" w:rsidRDefault="00AA3D1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sidRPr="00FF6CA5">
              <w:rPr>
                <w:sz w:val="20"/>
                <w:szCs w:val="20"/>
              </w:rPr>
              <w:t>Facilitators model how to use iPad apps for behavior tracking and task analysis, followed by peer discussion of modeled strategies.</w:t>
            </w:r>
          </w:p>
        </w:tc>
      </w:tr>
      <w:tr w:rsidR="00E15F2F" w14:paraId="5E6A9C96" w14:textId="77777777" w:rsidTr="009B686A">
        <w:tc>
          <w:tcPr>
            <w:tcW w:w="1800" w:type="dxa"/>
          </w:tcPr>
          <w:p w14:paraId="194C0305" w14:textId="62B64391"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 xml:space="preserve">Coaching </w:t>
            </w:r>
            <w:r w:rsidR="00390390" w:rsidRPr="00FF6CA5">
              <w:rPr>
                <w:color w:val="141516"/>
                <w:sz w:val="20"/>
                <w:szCs w:val="20"/>
              </w:rPr>
              <w:t>/</w:t>
            </w:r>
            <w:r w:rsidRPr="00FF6CA5">
              <w:rPr>
                <w:color w:val="141516"/>
                <w:sz w:val="20"/>
                <w:szCs w:val="20"/>
              </w:rPr>
              <w:t xml:space="preserve"> Expert Support</w:t>
            </w:r>
          </w:p>
        </w:tc>
        <w:tc>
          <w:tcPr>
            <w:tcW w:w="3600" w:type="dxa"/>
          </w:tcPr>
          <w:p w14:paraId="141CA891" w14:textId="54DED1C7" w:rsidR="00775165" w:rsidRPr="00FF6CA5" w:rsidRDefault="00E85D5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sidRPr="00FF6CA5">
              <w:rPr>
                <w:sz w:val="20"/>
                <w:szCs w:val="20"/>
              </w:rPr>
              <w:t>Ongoing guidance from mentors or coaches tailored to teacher needs.</w:t>
            </w:r>
          </w:p>
        </w:tc>
        <w:tc>
          <w:tcPr>
            <w:tcW w:w="3960" w:type="dxa"/>
          </w:tcPr>
          <w:p w14:paraId="2A7B7CAC" w14:textId="46BBCB3A" w:rsidR="00775165" w:rsidRPr="00FF6CA5" w:rsidRDefault="000319E8" w:rsidP="009B686A">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lang w:val="en-US"/>
              </w:rPr>
            </w:pPr>
            <w:r w:rsidRPr="009B686A">
              <w:rPr>
                <w:sz w:val="20"/>
                <w:szCs w:val="20"/>
                <w:lang w:val="en-US"/>
              </w:rPr>
              <w:t>An instructional coach with expertise in assistive technology provides weekly feedback on teachers’ integration of tools like C</w:t>
            </w:r>
            <w:r w:rsidR="00786F3F" w:rsidRPr="009B686A">
              <w:rPr>
                <w:sz w:val="20"/>
                <w:szCs w:val="20"/>
                <w:lang w:val="en-US"/>
              </w:rPr>
              <w:t>hatGPT</w:t>
            </w:r>
            <w:r w:rsidRPr="009B686A">
              <w:rPr>
                <w:sz w:val="20"/>
                <w:szCs w:val="20"/>
                <w:lang w:val="en-US"/>
              </w:rPr>
              <w:t xml:space="preserve"> or </w:t>
            </w:r>
            <w:bookmarkStart w:id="21" w:name="_Hlk198584485"/>
            <w:r w:rsidR="00786F3F" w:rsidRPr="009B686A">
              <w:rPr>
                <w:sz w:val="20"/>
                <w:szCs w:val="20"/>
                <w:lang w:val="en-US"/>
              </w:rPr>
              <w:t>Project iKnow</w:t>
            </w:r>
            <w:r w:rsidRPr="009B686A">
              <w:rPr>
                <w:sz w:val="20"/>
                <w:szCs w:val="20"/>
                <w:lang w:val="en-US"/>
              </w:rPr>
              <w:t>.</w:t>
            </w:r>
            <w:bookmarkEnd w:id="21"/>
          </w:p>
        </w:tc>
      </w:tr>
      <w:tr w:rsidR="00E15F2F" w14:paraId="2CAFB7F9" w14:textId="77777777" w:rsidTr="009B686A">
        <w:tc>
          <w:tcPr>
            <w:tcW w:w="1800" w:type="dxa"/>
          </w:tcPr>
          <w:p w14:paraId="3B0618FC" w14:textId="77777777"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Feedback and Reflection</w:t>
            </w:r>
          </w:p>
        </w:tc>
        <w:tc>
          <w:tcPr>
            <w:tcW w:w="3600" w:type="dxa"/>
          </w:tcPr>
          <w:p w14:paraId="73F94400" w14:textId="15FE2B45" w:rsidR="00775165" w:rsidRPr="00FF6CA5" w:rsidRDefault="00786F3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Pr>
                <w:sz w:val="20"/>
                <w:szCs w:val="20"/>
              </w:rPr>
              <w:t>I</w:t>
            </w:r>
            <w:r w:rsidR="00511FAB" w:rsidRPr="00FF6CA5">
              <w:rPr>
                <w:sz w:val="20"/>
                <w:szCs w:val="20"/>
              </w:rPr>
              <w:t>ncludes structured opportunities for self-assessment and feedback from peers or mentors.</w:t>
            </w:r>
          </w:p>
        </w:tc>
        <w:tc>
          <w:tcPr>
            <w:tcW w:w="3960" w:type="dxa"/>
          </w:tcPr>
          <w:p w14:paraId="3CB2A6A4" w14:textId="55C63CE9" w:rsidR="00775165" w:rsidRPr="00FF6CA5" w:rsidRDefault="00786F3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sidRPr="00FF6CA5">
              <w:rPr>
                <w:sz w:val="20"/>
                <w:szCs w:val="20"/>
              </w:rPr>
              <w:t>Teacher’s</w:t>
            </w:r>
            <w:r w:rsidR="00680D38" w:rsidRPr="00FF6CA5">
              <w:rPr>
                <w:sz w:val="20"/>
                <w:szCs w:val="20"/>
              </w:rPr>
              <w:t xml:space="preserve"> video-record lessons using text-to-speech tools, reflect on student engagement, and receive peer feedback in </w:t>
            </w:r>
            <w:r>
              <w:rPr>
                <w:sz w:val="20"/>
                <w:szCs w:val="20"/>
              </w:rPr>
              <w:t xml:space="preserve">departmental learning group </w:t>
            </w:r>
            <w:r w:rsidR="00680D38" w:rsidRPr="00FF6CA5">
              <w:rPr>
                <w:sz w:val="20"/>
                <w:szCs w:val="20"/>
              </w:rPr>
              <w:t>meetings.</w:t>
            </w:r>
          </w:p>
        </w:tc>
      </w:tr>
      <w:tr w:rsidR="00E15F2F" w14:paraId="4A308AF3" w14:textId="77777777" w:rsidTr="009B686A">
        <w:tc>
          <w:tcPr>
            <w:tcW w:w="1800" w:type="dxa"/>
            <w:tcBorders>
              <w:bottom w:val="single" w:sz="8" w:space="0" w:color="auto"/>
            </w:tcBorders>
          </w:tcPr>
          <w:p w14:paraId="6C318F7D" w14:textId="77777777" w:rsidR="00775165" w:rsidRPr="00FF6CA5" w:rsidRDefault="0077516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jc w:val="center"/>
              <w:rPr>
                <w:sz w:val="20"/>
                <w:szCs w:val="20"/>
              </w:rPr>
            </w:pPr>
            <w:r w:rsidRPr="00FF6CA5">
              <w:rPr>
                <w:color w:val="141516"/>
                <w:sz w:val="20"/>
                <w:szCs w:val="20"/>
              </w:rPr>
              <w:t>Sustained Duration</w:t>
            </w:r>
          </w:p>
        </w:tc>
        <w:tc>
          <w:tcPr>
            <w:tcW w:w="3600" w:type="dxa"/>
            <w:tcBorders>
              <w:bottom w:val="single" w:sz="8" w:space="0" w:color="auto"/>
            </w:tcBorders>
          </w:tcPr>
          <w:p w14:paraId="445AABEA" w14:textId="4A311C15" w:rsidR="00775165" w:rsidRPr="00FF6CA5" w:rsidRDefault="00786F3F"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sz w:val="20"/>
                <w:szCs w:val="20"/>
              </w:rPr>
            </w:pPr>
            <w:r>
              <w:rPr>
                <w:sz w:val="20"/>
                <w:szCs w:val="20"/>
              </w:rPr>
              <w:t>O</w:t>
            </w:r>
            <w:r w:rsidR="004F0BD2" w:rsidRPr="00FF6CA5">
              <w:rPr>
                <w:sz w:val="20"/>
                <w:szCs w:val="20"/>
              </w:rPr>
              <w:t>ccurs over an extended time to allow for implementation, feedback, and iteration.</w:t>
            </w:r>
          </w:p>
        </w:tc>
        <w:tc>
          <w:tcPr>
            <w:tcW w:w="3960" w:type="dxa"/>
            <w:tcBorders>
              <w:bottom w:val="single" w:sz="8" w:space="0" w:color="auto"/>
            </w:tcBorders>
          </w:tcPr>
          <w:p w14:paraId="65821370" w14:textId="7FA84E01" w:rsidR="00775165" w:rsidRPr="00FF6CA5" w:rsidRDefault="00FF6CA5" w:rsidP="00577BBE">
            <w:pPr>
              <w:tabs>
                <w:tab w:val="left" w:pos="360"/>
                <w:tab w:val="left" w:pos="720"/>
                <w:tab w:val="left" w:pos="1080"/>
                <w:tab w:val="left" w:pos="1440"/>
                <w:tab w:val="left" w:pos="1800"/>
                <w:tab w:val="left" w:pos="2160"/>
                <w:tab w:val="left" w:pos="2880"/>
                <w:tab w:val="left" w:pos="3600"/>
                <w:tab w:val="left" w:pos="4320"/>
              </w:tabs>
              <w:spacing w:after="40" w:line="240" w:lineRule="auto"/>
              <w:ind w:left="216" w:hanging="216"/>
              <w:rPr>
                <w:color w:val="141516"/>
                <w:sz w:val="20"/>
                <w:szCs w:val="20"/>
              </w:rPr>
            </w:pPr>
            <w:r w:rsidRPr="00FF6CA5">
              <w:rPr>
                <w:color w:val="141516"/>
                <w:sz w:val="20"/>
                <w:szCs w:val="20"/>
              </w:rPr>
              <w:t>A yearlong PD initiative supports teachers in using Microsoft Immersive Reader across subject areas, with monthly check-ins and mid-year refreshers.</w:t>
            </w:r>
          </w:p>
        </w:tc>
      </w:tr>
    </w:tbl>
    <w:p w14:paraId="7F2BB7CD" w14:textId="2FAC50C9" w:rsidR="009F4811" w:rsidRPr="00DF1064" w:rsidRDefault="00775165" w:rsidP="00AE4568">
      <w:pPr>
        <w:rPr>
          <w:sz w:val="20"/>
          <w:szCs w:val="20"/>
        </w:rPr>
        <w:sectPr w:rsidR="009F4811" w:rsidRPr="00DF1064" w:rsidSect="0020011F">
          <w:pgSz w:w="12240" w:h="15840"/>
          <w:pgMar w:top="1440" w:right="1440" w:bottom="1440" w:left="1440" w:header="720" w:footer="720" w:gutter="0"/>
          <w:cols w:space="720"/>
        </w:sectPr>
      </w:pPr>
      <w:r w:rsidRPr="00DF1064">
        <w:rPr>
          <w:i/>
          <w:iCs/>
          <w:sz w:val="20"/>
          <w:szCs w:val="20"/>
        </w:rPr>
        <w:t xml:space="preserve">Note. </w:t>
      </w:r>
      <w:r w:rsidR="00E224EA">
        <w:rPr>
          <w:sz w:val="20"/>
          <w:szCs w:val="20"/>
        </w:rPr>
        <w:t>Summary of s</w:t>
      </w:r>
      <w:r w:rsidR="00D50738" w:rsidRPr="00DF1064">
        <w:rPr>
          <w:sz w:val="20"/>
          <w:szCs w:val="20"/>
        </w:rPr>
        <w:t xml:space="preserve">even widely shared features of effective professional development, as </w:t>
      </w:r>
      <w:r w:rsidR="00DF1064" w:rsidRPr="00DF1064">
        <w:rPr>
          <w:sz w:val="20"/>
          <w:szCs w:val="20"/>
        </w:rPr>
        <w:t>named</w:t>
      </w:r>
      <w:r w:rsidR="00D50738" w:rsidRPr="00DF1064">
        <w:rPr>
          <w:sz w:val="20"/>
          <w:szCs w:val="20"/>
        </w:rPr>
        <w:t xml:space="preserve"> in </w:t>
      </w:r>
      <w:r w:rsidR="00485EB2">
        <w:rPr>
          <w:sz w:val="20"/>
          <w:szCs w:val="20"/>
        </w:rPr>
        <w:t xml:space="preserve">the seminal </w:t>
      </w:r>
      <w:r w:rsidR="00D50738" w:rsidRPr="00DF1064">
        <w:rPr>
          <w:sz w:val="20"/>
          <w:szCs w:val="20"/>
        </w:rPr>
        <w:t>Darling-Hammond</w:t>
      </w:r>
      <w:r w:rsidR="00DF1064">
        <w:rPr>
          <w:sz w:val="20"/>
          <w:szCs w:val="20"/>
        </w:rPr>
        <w:t xml:space="preserve"> et al.</w:t>
      </w:r>
      <w:r w:rsidR="00D50738" w:rsidRPr="00DF1064">
        <w:rPr>
          <w:sz w:val="20"/>
          <w:szCs w:val="20"/>
        </w:rPr>
        <w:t xml:space="preserve"> (2017) review of 35 studies</w:t>
      </w:r>
      <w:r w:rsidR="00485EB2">
        <w:rPr>
          <w:sz w:val="20"/>
          <w:szCs w:val="20"/>
        </w:rPr>
        <w:t xml:space="preserve"> around professional development</w:t>
      </w:r>
      <w:r w:rsidR="00D50738" w:rsidRPr="00DF1064">
        <w:rPr>
          <w:sz w:val="20"/>
          <w:szCs w:val="20"/>
        </w:rPr>
        <w:t>. Each feature is illustrated with a</w:t>
      </w:r>
      <w:r w:rsidR="00485EB2">
        <w:rPr>
          <w:sz w:val="20"/>
          <w:szCs w:val="20"/>
        </w:rPr>
        <w:t>n author created potential</w:t>
      </w:r>
      <w:r w:rsidR="00D50738" w:rsidRPr="00DF1064">
        <w:rPr>
          <w:sz w:val="20"/>
          <w:szCs w:val="20"/>
        </w:rPr>
        <w:t xml:space="preserve"> </w:t>
      </w:r>
      <w:r w:rsidR="00485EB2">
        <w:rPr>
          <w:sz w:val="20"/>
          <w:szCs w:val="20"/>
        </w:rPr>
        <w:t xml:space="preserve">PD </w:t>
      </w:r>
      <w:r w:rsidR="00D50738" w:rsidRPr="00DF1064">
        <w:rPr>
          <w:sz w:val="20"/>
          <w:szCs w:val="20"/>
        </w:rPr>
        <w:t>example focused specifically on the integration of educational technology in special education settings.</w:t>
      </w:r>
    </w:p>
    <w:p w14:paraId="4CDFD7C6" w14:textId="69399543" w:rsidR="00121405" w:rsidRDefault="008D03B4" w:rsidP="00572B2E">
      <w:pPr>
        <w:pStyle w:val="Heading2"/>
        <w:rPr>
          <w:rFonts w:eastAsia="Calibri"/>
          <w:i/>
          <w:iCs/>
          <w:szCs w:val="18"/>
          <w:lang w:val="en-US"/>
        </w:rPr>
      </w:pPr>
      <w:r w:rsidRPr="006D014F">
        <w:rPr>
          <w:rFonts w:eastAsia="Calibri"/>
          <w:lang w:val="en-US"/>
        </w:rPr>
        <w:lastRenderedPageBreak/>
        <w:t>Table</w:t>
      </w:r>
      <w:r w:rsidRPr="003C55AA">
        <w:rPr>
          <w:rFonts w:eastAsia="Calibri"/>
          <w:szCs w:val="22"/>
          <w:lang w:val="en-US"/>
        </w:rPr>
        <w:t xml:space="preserve"> </w:t>
      </w:r>
      <w:r w:rsidR="00572B2E">
        <w:rPr>
          <w:rFonts w:eastAsia="Calibri"/>
          <w:szCs w:val="22"/>
          <w:lang w:val="en-US"/>
        </w:rPr>
        <w:t>2</w:t>
      </w:r>
    </w:p>
    <w:p w14:paraId="233ABEA7" w14:textId="348D5613" w:rsidR="00C85CA8" w:rsidRPr="003C55AA" w:rsidRDefault="00C85CA8" w:rsidP="00AE4568">
      <w:pPr>
        <w:spacing w:line="480" w:lineRule="auto"/>
        <w:rPr>
          <w:rFonts w:eastAsia="Calibri"/>
          <w:i/>
          <w:iCs/>
          <w:sz w:val="22"/>
          <w:szCs w:val="18"/>
          <w:lang w:val="en-US"/>
        </w:rPr>
      </w:pPr>
      <w:r w:rsidRPr="003C55AA">
        <w:rPr>
          <w:rFonts w:eastAsia="Calibri"/>
          <w:i/>
          <w:iCs/>
          <w:sz w:val="22"/>
          <w:szCs w:val="18"/>
          <w:lang w:val="en-US"/>
        </w:rPr>
        <w:t>Intervention Variables</w:t>
      </w:r>
      <w:r>
        <w:rPr>
          <w:rFonts w:eastAsia="Calibri"/>
          <w:i/>
          <w:iCs/>
          <w:sz w:val="22"/>
          <w:szCs w:val="18"/>
          <w:lang w:val="en-US"/>
        </w:rPr>
        <w:t xml:space="preserve">: </w:t>
      </w:r>
      <w:r w:rsidRPr="003C55AA">
        <w:rPr>
          <w:rFonts w:eastAsia="Calibri"/>
          <w:i/>
          <w:iCs/>
          <w:sz w:val="22"/>
          <w:szCs w:val="18"/>
          <w:lang w:val="en-US"/>
        </w:rPr>
        <w:t>Educational Technolog</w:t>
      </w:r>
      <w:r>
        <w:rPr>
          <w:rFonts w:eastAsia="Calibri"/>
          <w:i/>
          <w:iCs/>
          <w:sz w:val="22"/>
          <w:szCs w:val="18"/>
          <w:lang w:val="en-US"/>
        </w:rPr>
        <w:t>y</w:t>
      </w:r>
    </w:p>
    <w:tbl>
      <w:tblPr>
        <w:tblW w:w="12933" w:type="dxa"/>
        <w:tblLook w:val="0600" w:firstRow="0" w:lastRow="0" w:firstColumn="0" w:lastColumn="0" w:noHBand="1" w:noVBand="1"/>
        <w:tblCaption w:val="Intervention Variables: Educational Technology"/>
        <w:tblDescription w:val="Table"/>
      </w:tblPr>
      <w:tblGrid>
        <w:gridCol w:w="1080"/>
        <w:gridCol w:w="1800"/>
        <w:gridCol w:w="3591"/>
        <w:gridCol w:w="3960"/>
        <w:gridCol w:w="2502"/>
      </w:tblGrid>
      <w:tr w:rsidR="00C832D7" w:rsidRPr="003C55AA" w14:paraId="663DCDE4" w14:textId="77777777" w:rsidTr="003E0239">
        <w:tc>
          <w:tcPr>
            <w:tcW w:w="1080" w:type="dxa"/>
            <w:tcBorders>
              <w:top w:val="single" w:sz="12" w:space="0" w:color="auto"/>
              <w:bottom w:val="single" w:sz="12" w:space="0" w:color="auto"/>
            </w:tcBorders>
          </w:tcPr>
          <w:p w14:paraId="1FB0DC78"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Variable</w:t>
            </w:r>
          </w:p>
        </w:tc>
        <w:tc>
          <w:tcPr>
            <w:tcW w:w="1800" w:type="dxa"/>
            <w:tcBorders>
              <w:top w:val="single" w:sz="12" w:space="0" w:color="auto"/>
              <w:bottom w:val="single" w:sz="12" w:space="0" w:color="auto"/>
            </w:tcBorders>
          </w:tcPr>
          <w:p w14:paraId="5F06AC3A"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Definition</w:t>
            </w:r>
          </w:p>
        </w:tc>
        <w:tc>
          <w:tcPr>
            <w:tcW w:w="3591" w:type="dxa"/>
            <w:tcBorders>
              <w:top w:val="single" w:sz="12" w:space="0" w:color="auto"/>
              <w:bottom w:val="single" w:sz="12" w:space="0" w:color="auto"/>
            </w:tcBorders>
          </w:tcPr>
          <w:p w14:paraId="1E0A1599"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Example(s)</w:t>
            </w:r>
          </w:p>
        </w:tc>
        <w:tc>
          <w:tcPr>
            <w:tcW w:w="3960" w:type="dxa"/>
            <w:tcBorders>
              <w:top w:val="single" w:sz="12" w:space="0" w:color="auto"/>
              <w:bottom w:val="single" w:sz="12" w:space="0" w:color="auto"/>
            </w:tcBorders>
          </w:tcPr>
          <w:p w14:paraId="03EB50F9"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Non-Example(s)</w:t>
            </w:r>
          </w:p>
        </w:tc>
        <w:tc>
          <w:tcPr>
            <w:tcW w:w="2502" w:type="dxa"/>
            <w:tcBorders>
              <w:top w:val="single" w:sz="12" w:space="0" w:color="auto"/>
              <w:bottom w:val="single" w:sz="12" w:space="0" w:color="auto"/>
            </w:tcBorders>
          </w:tcPr>
          <w:p w14:paraId="758E1162"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Specific Direction</w:t>
            </w:r>
          </w:p>
        </w:tc>
      </w:tr>
      <w:tr w:rsidR="00C832D7" w:rsidRPr="003C55AA" w14:paraId="32A7D036" w14:textId="77777777" w:rsidTr="003E0239">
        <w:trPr>
          <w:trHeight w:val="3102"/>
        </w:trPr>
        <w:tc>
          <w:tcPr>
            <w:tcW w:w="1080" w:type="dxa"/>
            <w:tcBorders>
              <w:top w:val="single" w:sz="12" w:space="0" w:color="auto"/>
            </w:tcBorders>
          </w:tcPr>
          <w:p w14:paraId="6C10963E"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Hardware</w:t>
            </w:r>
          </w:p>
        </w:tc>
        <w:tc>
          <w:tcPr>
            <w:tcW w:w="1800" w:type="dxa"/>
            <w:tcBorders>
              <w:top w:val="single" w:sz="12" w:space="0" w:color="auto"/>
            </w:tcBorders>
          </w:tcPr>
          <w:p w14:paraId="5360B060" w14:textId="77777777" w:rsidR="00C85CA8" w:rsidRPr="003C55AA"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Physical educational and assistive technology devices that are the focus of the professional development being conducted.</w:t>
            </w:r>
          </w:p>
        </w:tc>
        <w:tc>
          <w:tcPr>
            <w:tcW w:w="3591" w:type="dxa"/>
            <w:tcBorders>
              <w:top w:val="single" w:sz="12" w:space="0" w:color="auto"/>
            </w:tcBorders>
          </w:tcPr>
          <w:p w14:paraId="47338CFF" w14:textId="764583E4" w:rsidR="0075019D"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 xml:space="preserve">Personal </w:t>
            </w:r>
            <w:r w:rsidR="00DE4D1E" w:rsidRPr="003C55AA">
              <w:rPr>
                <w:rFonts w:eastAsia="Calibri"/>
                <w:sz w:val="20"/>
                <w:szCs w:val="20"/>
                <w:lang w:val="en-US"/>
              </w:rPr>
              <w:t>computers (</w:t>
            </w:r>
            <w:r w:rsidRPr="003C55AA">
              <w:rPr>
                <w:rFonts w:eastAsia="Calibri"/>
                <w:sz w:val="20"/>
                <w:szCs w:val="20"/>
                <w:lang w:val="en-US"/>
              </w:rPr>
              <w:t>i.e.</w:t>
            </w:r>
            <w:r>
              <w:rPr>
                <w:rFonts w:eastAsia="Calibri"/>
                <w:sz w:val="20"/>
                <w:szCs w:val="20"/>
                <w:lang w:val="en-US"/>
              </w:rPr>
              <w:t>,</w:t>
            </w:r>
            <w:r w:rsidRPr="003C55AA">
              <w:rPr>
                <w:rFonts w:eastAsia="Calibri"/>
                <w:sz w:val="20"/>
                <w:szCs w:val="20"/>
                <w:lang w:val="en-US"/>
              </w:rPr>
              <w:t xml:space="preserve"> laptops, desktops, or Chromebooks</w:t>
            </w:r>
            <w:r>
              <w:rPr>
                <w:rFonts w:eastAsia="Calibri"/>
                <w:sz w:val="20"/>
                <w:szCs w:val="20"/>
                <w:lang w:val="en-US"/>
              </w:rPr>
              <w:t>)</w:t>
            </w:r>
          </w:p>
          <w:p w14:paraId="663D5932" w14:textId="77777777" w:rsidR="0075019D" w:rsidRDefault="00C85CA8" w:rsidP="003E0239">
            <w:pPr>
              <w:spacing w:after="40" w:line="240" w:lineRule="auto"/>
              <w:ind w:left="216" w:hanging="216"/>
              <w:rPr>
                <w:rFonts w:eastAsia="Calibri"/>
                <w:sz w:val="20"/>
                <w:szCs w:val="20"/>
                <w:lang w:val="en-US"/>
              </w:rPr>
            </w:pPr>
            <w:r>
              <w:rPr>
                <w:rFonts w:eastAsia="Calibri"/>
                <w:sz w:val="20"/>
                <w:szCs w:val="20"/>
                <w:lang w:val="en-US"/>
              </w:rPr>
              <w:t>M</w:t>
            </w:r>
            <w:r w:rsidRPr="003C55AA">
              <w:rPr>
                <w:rFonts w:eastAsia="Calibri"/>
                <w:sz w:val="20"/>
                <w:szCs w:val="20"/>
                <w:lang w:val="en-US"/>
              </w:rPr>
              <w:t>obile devices (i.e.</w:t>
            </w:r>
            <w:r>
              <w:rPr>
                <w:rFonts w:eastAsia="Calibri"/>
                <w:sz w:val="20"/>
                <w:szCs w:val="20"/>
                <w:lang w:val="en-US"/>
              </w:rPr>
              <w:t>,</w:t>
            </w:r>
            <w:r w:rsidRPr="003C55AA">
              <w:rPr>
                <w:rFonts w:eastAsia="Calibri"/>
                <w:sz w:val="20"/>
                <w:szCs w:val="20"/>
                <w:lang w:val="en-US"/>
              </w:rPr>
              <w:t xml:space="preserve"> iOS or Android phones and tablets)</w:t>
            </w:r>
          </w:p>
          <w:p w14:paraId="044BCF44" w14:textId="1DCCCA91"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eReaders (</w:t>
            </w:r>
            <w:r w:rsidR="005A1BDB" w:rsidRPr="003C55AA">
              <w:rPr>
                <w:rFonts w:eastAsia="Calibri"/>
                <w:sz w:val="20"/>
                <w:szCs w:val="20"/>
                <w:lang w:val="en-US"/>
              </w:rPr>
              <w:t>i.e.,</w:t>
            </w:r>
            <w:r w:rsidRPr="003C55AA">
              <w:rPr>
                <w:rFonts w:eastAsia="Calibri"/>
                <w:sz w:val="20"/>
                <w:szCs w:val="20"/>
                <w:lang w:val="en-US"/>
              </w:rPr>
              <w:t xml:space="preserve"> Kindle, Nook, or Kobu)</w:t>
            </w:r>
          </w:p>
          <w:p w14:paraId="0E9C9057" w14:textId="251E2676" w:rsidR="0075019D" w:rsidRDefault="00C85CA8" w:rsidP="003E0239">
            <w:pPr>
              <w:spacing w:after="40" w:line="240" w:lineRule="auto"/>
              <w:ind w:left="216" w:hanging="216"/>
              <w:rPr>
                <w:rFonts w:eastAsia="Calibri"/>
                <w:sz w:val="20"/>
                <w:szCs w:val="20"/>
                <w:lang w:val="en-US"/>
              </w:rPr>
            </w:pPr>
            <w:r>
              <w:rPr>
                <w:rFonts w:eastAsia="Calibri"/>
                <w:sz w:val="20"/>
                <w:szCs w:val="20"/>
                <w:lang w:val="en-US"/>
              </w:rPr>
              <w:t>E</w:t>
            </w:r>
            <w:r w:rsidRPr="003C55AA">
              <w:rPr>
                <w:rFonts w:eastAsia="Calibri"/>
                <w:sz w:val="20"/>
                <w:szCs w:val="20"/>
                <w:lang w:val="en-US"/>
              </w:rPr>
              <w:t xml:space="preserve">xtended/virtual reality </w:t>
            </w:r>
            <w:r w:rsidR="00A07CAB">
              <w:rPr>
                <w:rFonts w:eastAsia="Calibri"/>
                <w:sz w:val="20"/>
                <w:szCs w:val="20"/>
                <w:lang w:val="en-US"/>
              </w:rPr>
              <w:t>h</w:t>
            </w:r>
            <w:r w:rsidRPr="003C55AA">
              <w:rPr>
                <w:rFonts w:eastAsia="Calibri"/>
                <w:sz w:val="20"/>
                <w:szCs w:val="20"/>
                <w:lang w:val="en-US"/>
              </w:rPr>
              <w:t>eadsets (i.e.</w:t>
            </w:r>
            <w:r>
              <w:rPr>
                <w:rFonts w:eastAsia="Calibri"/>
                <w:sz w:val="20"/>
                <w:szCs w:val="20"/>
                <w:lang w:val="en-US"/>
              </w:rPr>
              <w:t>,</w:t>
            </w:r>
            <w:r w:rsidRPr="003C55AA">
              <w:rPr>
                <w:rFonts w:eastAsia="Calibri"/>
                <w:sz w:val="20"/>
                <w:szCs w:val="20"/>
                <w:lang w:val="en-US"/>
              </w:rPr>
              <w:t xml:space="preserve"> Meta Quest, Oculus, HTC Vive, or Apple Vision Pro)</w:t>
            </w:r>
          </w:p>
          <w:p w14:paraId="3F5B2346" w14:textId="792B5659" w:rsidR="00C85CA8" w:rsidRPr="003C55AA"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Interactive Displays (i.e.</w:t>
            </w:r>
            <w:r>
              <w:rPr>
                <w:rFonts w:eastAsia="Calibri"/>
                <w:sz w:val="20"/>
                <w:szCs w:val="20"/>
                <w:lang w:val="en-US"/>
              </w:rPr>
              <w:t>,</w:t>
            </w:r>
            <w:r w:rsidRPr="003C55AA">
              <w:rPr>
                <w:rFonts w:eastAsia="Calibri"/>
                <w:sz w:val="20"/>
                <w:szCs w:val="20"/>
                <w:lang w:val="en-US"/>
              </w:rPr>
              <w:t xml:space="preserve"> SmartBoard, Planer, or BenQ).</w:t>
            </w:r>
          </w:p>
        </w:tc>
        <w:tc>
          <w:tcPr>
            <w:tcW w:w="3960" w:type="dxa"/>
            <w:tcBorders>
              <w:top w:val="single" w:sz="12" w:space="0" w:color="auto"/>
            </w:tcBorders>
          </w:tcPr>
          <w:p w14:paraId="696C9C29" w14:textId="5B97B203" w:rsidR="0075019D" w:rsidRDefault="00C30940" w:rsidP="003E0239">
            <w:pPr>
              <w:spacing w:after="40" w:line="240" w:lineRule="auto"/>
              <w:ind w:left="216" w:hanging="216"/>
              <w:rPr>
                <w:rFonts w:eastAsia="Calibri"/>
                <w:sz w:val="20"/>
                <w:szCs w:val="20"/>
                <w:lang w:val="en-US"/>
              </w:rPr>
            </w:pPr>
            <w:r>
              <w:rPr>
                <w:rFonts w:eastAsia="Calibri"/>
                <w:sz w:val="20"/>
                <w:szCs w:val="20"/>
                <w:lang w:val="en-US"/>
              </w:rPr>
              <w:t>Augmentative and Alternative Communication (</w:t>
            </w:r>
            <w:r w:rsidR="00C85CA8" w:rsidRPr="003C55AA">
              <w:rPr>
                <w:rFonts w:eastAsia="Calibri"/>
                <w:sz w:val="20"/>
                <w:szCs w:val="20"/>
                <w:lang w:val="en-US"/>
              </w:rPr>
              <w:t>AAC</w:t>
            </w:r>
            <w:r>
              <w:rPr>
                <w:rFonts w:eastAsia="Calibri"/>
                <w:sz w:val="20"/>
                <w:szCs w:val="20"/>
                <w:lang w:val="en-US"/>
              </w:rPr>
              <w:t>)</w:t>
            </w:r>
            <w:r w:rsidR="00C85CA8" w:rsidRPr="003C55AA">
              <w:rPr>
                <w:rFonts w:eastAsia="Calibri"/>
                <w:sz w:val="20"/>
                <w:szCs w:val="20"/>
                <w:lang w:val="en-US"/>
              </w:rPr>
              <w:t xml:space="preserve"> </w:t>
            </w:r>
            <w:r w:rsidR="00C85CA8">
              <w:rPr>
                <w:rFonts w:eastAsia="Calibri"/>
                <w:sz w:val="20"/>
                <w:szCs w:val="20"/>
                <w:lang w:val="en-US"/>
              </w:rPr>
              <w:t>Devices</w:t>
            </w:r>
          </w:p>
          <w:p w14:paraId="064120D4" w14:textId="77777777" w:rsidR="0075019D"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Artificial Intelligence (i.e.</w:t>
            </w:r>
            <w:r>
              <w:rPr>
                <w:rFonts w:eastAsia="Calibri"/>
                <w:sz w:val="20"/>
                <w:szCs w:val="20"/>
                <w:lang w:val="en-US"/>
              </w:rPr>
              <w:t>,</w:t>
            </w:r>
            <w:r w:rsidRPr="003C55AA">
              <w:rPr>
                <w:rFonts w:eastAsia="Calibri"/>
                <w:sz w:val="20"/>
                <w:szCs w:val="20"/>
                <w:lang w:val="en-US"/>
              </w:rPr>
              <w:t xml:space="preserve"> ChatGPT, Gemini, Perplexity, or Llama)</w:t>
            </w:r>
          </w:p>
          <w:p w14:paraId="37253119" w14:textId="06E09327" w:rsidR="0075019D"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Applications (i.e.</w:t>
            </w:r>
            <w:r>
              <w:rPr>
                <w:rFonts w:eastAsia="Calibri"/>
                <w:sz w:val="20"/>
                <w:szCs w:val="20"/>
                <w:lang w:val="en-US"/>
              </w:rPr>
              <w:t>,</w:t>
            </w:r>
            <w:r w:rsidRPr="003C55AA">
              <w:rPr>
                <w:rFonts w:eastAsia="Calibri"/>
                <w:sz w:val="20"/>
                <w:szCs w:val="20"/>
                <w:lang w:val="en-US"/>
              </w:rPr>
              <w:t xml:space="preserve"> Dragon, ToDoist, Notability, Grammarly, or Forest),</w:t>
            </w:r>
          </w:p>
          <w:p w14:paraId="7652A0FF" w14:textId="77777777" w:rsidR="0075019D"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Websites (i.e.</w:t>
            </w:r>
            <w:r>
              <w:rPr>
                <w:rFonts w:eastAsia="Calibri"/>
                <w:sz w:val="20"/>
                <w:szCs w:val="20"/>
                <w:lang w:val="en-US"/>
              </w:rPr>
              <w:t>,</w:t>
            </w:r>
            <w:r w:rsidRPr="003C55AA">
              <w:rPr>
                <w:rFonts w:eastAsia="Calibri"/>
                <w:sz w:val="20"/>
                <w:szCs w:val="20"/>
                <w:lang w:val="en-US"/>
              </w:rPr>
              <w:t xml:space="preserve"> ReadWriteThink, ReadTheory, LearningAtoZ, or Code.org</w:t>
            </w:r>
          </w:p>
          <w:p w14:paraId="2AB6E4B0" w14:textId="77777777" w:rsidR="0075019D"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Learning Management Systems (i.e.</w:t>
            </w:r>
            <w:r>
              <w:rPr>
                <w:rFonts w:eastAsia="Calibri"/>
                <w:sz w:val="20"/>
                <w:szCs w:val="20"/>
                <w:lang w:val="en-US"/>
              </w:rPr>
              <w:t>,</w:t>
            </w:r>
            <w:r w:rsidRPr="003C55AA">
              <w:rPr>
                <w:rFonts w:eastAsia="Calibri"/>
                <w:sz w:val="20"/>
                <w:szCs w:val="20"/>
                <w:lang w:val="en-US"/>
              </w:rPr>
              <w:t xml:space="preserve"> Google Classroom, Canvas, Schoology, or Moodle)</w:t>
            </w:r>
          </w:p>
          <w:p w14:paraId="26650A73" w14:textId="09C020CC" w:rsidR="00C85CA8" w:rsidRPr="003C55AA"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Content Delivery or Learning Platforms (i.e.</w:t>
            </w:r>
            <w:r>
              <w:rPr>
                <w:rFonts w:eastAsia="Calibri"/>
                <w:sz w:val="20"/>
                <w:szCs w:val="20"/>
                <w:lang w:val="en-US"/>
              </w:rPr>
              <w:t>,</w:t>
            </w:r>
            <w:r w:rsidRPr="003C55AA">
              <w:rPr>
                <w:rFonts w:eastAsia="Calibri"/>
                <w:sz w:val="20"/>
                <w:szCs w:val="20"/>
                <w:lang w:val="en-US"/>
              </w:rPr>
              <w:t xml:space="preserve"> Khan Academy, IXL, NewsELA, Nearpod, or BrainPop)</w:t>
            </w:r>
          </w:p>
        </w:tc>
        <w:tc>
          <w:tcPr>
            <w:tcW w:w="2502" w:type="dxa"/>
            <w:tcBorders>
              <w:top w:val="single" w:sz="12" w:space="0" w:color="auto"/>
            </w:tcBorders>
          </w:tcPr>
          <w:p w14:paraId="6B4E78BE" w14:textId="77777777" w:rsidR="00DE4D1E" w:rsidRDefault="00C85CA8" w:rsidP="003E0239">
            <w:pPr>
              <w:spacing w:after="40" w:line="240" w:lineRule="auto"/>
              <w:ind w:left="216" w:hanging="216"/>
              <w:rPr>
                <w:rFonts w:eastAsia="Calibri"/>
                <w:sz w:val="20"/>
                <w:szCs w:val="20"/>
                <w:lang w:val="en-US"/>
              </w:rPr>
            </w:pPr>
            <w:r>
              <w:rPr>
                <w:rFonts w:eastAsia="Calibri"/>
                <w:sz w:val="20"/>
                <w:szCs w:val="20"/>
                <w:lang w:val="en-US"/>
              </w:rPr>
              <w:t>Using the dropdown menu, select all categorical examples of technology examined.</w:t>
            </w:r>
          </w:p>
          <w:p w14:paraId="5FF7709B" w14:textId="652C3086" w:rsidR="00C85CA8" w:rsidRPr="003C55AA" w:rsidRDefault="00C85CA8" w:rsidP="003E0239">
            <w:pPr>
              <w:spacing w:after="40" w:line="240" w:lineRule="auto"/>
              <w:ind w:left="216" w:hanging="216"/>
              <w:rPr>
                <w:rFonts w:eastAsia="Calibri"/>
                <w:sz w:val="20"/>
                <w:szCs w:val="20"/>
                <w:lang w:val="en-US"/>
              </w:rPr>
            </w:pPr>
            <w:r>
              <w:rPr>
                <w:rFonts w:eastAsia="Calibri"/>
                <w:sz w:val="20"/>
                <w:szCs w:val="20"/>
                <w:lang w:val="en-US"/>
              </w:rPr>
              <w:t xml:space="preserve">Select the proper unit of analysis (i.e., group design: included article or </w:t>
            </w:r>
            <w:proofErr w:type="gramStart"/>
            <w:r>
              <w:rPr>
                <w:rFonts w:eastAsia="Calibri"/>
                <w:sz w:val="20"/>
                <w:szCs w:val="20"/>
                <w:lang w:val="en-US"/>
              </w:rPr>
              <w:t>single case</w:t>
            </w:r>
            <w:proofErr w:type="gramEnd"/>
            <w:r>
              <w:rPr>
                <w:rFonts w:eastAsia="Calibri"/>
                <w:sz w:val="20"/>
                <w:szCs w:val="20"/>
                <w:lang w:val="en-US"/>
              </w:rPr>
              <w:t xml:space="preserve"> design: individual participant)</w:t>
            </w:r>
          </w:p>
        </w:tc>
      </w:tr>
      <w:tr w:rsidR="00C832D7" w:rsidRPr="003C55AA" w14:paraId="74AFB5C5" w14:textId="77777777" w:rsidTr="003E0239">
        <w:tc>
          <w:tcPr>
            <w:tcW w:w="1080" w:type="dxa"/>
            <w:tcBorders>
              <w:bottom w:val="single" w:sz="12" w:space="0" w:color="auto"/>
            </w:tcBorders>
          </w:tcPr>
          <w:p w14:paraId="6AEB82A7" w14:textId="77777777" w:rsidR="00C85CA8" w:rsidRPr="003C55AA" w:rsidRDefault="00C85CA8" w:rsidP="003E0239">
            <w:pPr>
              <w:spacing w:after="40" w:line="240" w:lineRule="auto"/>
              <w:jc w:val="center"/>
              <w:rPr>
                <w:rFonts w:eastAsia="Calibri"/>
                <w:sz w:val="20"/>
                <w:szCs w:val="20"/>
                <w:lang w:val="en-US"/>
              </w:rPr>
            </w:pPr>
            <w:r w:rsidRPr="003C55AA">
              <w:rPr>
                <w:rFonts w:eastAsia="Calibri"/>
                <w:sz w:val="20"/>
                <w:szCs w:val="20"/>
                <w:lang w:val="en-US"/>
              </w:rPr>
              <w:t>Software</w:t>
            </w:r>
          </w:p>
        </w:tc>
        <w:tc>
          <w:tcPr>
            <w:tcW w:w="1800" w:type="dxa"/>
            <w:tcBorders>
              <w:bottom w:val="single" w:sz="12" w:space="0" w:color="auto"/>
            </w:tcBorders>
          </w:tcPr>
          <w:p w14:paraId="6800351B" w14:textId="77777777" w:rsidR="00C85CA8" w:rsidRPr="003C55AA"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Educational and assistive technology programs ran on hardware that are the focus of the professional development being conducted.</w:t>
            </w:r>
          </w:p>
        </w:tc>
        <w:tc>
          <w:tcPr>
            <w:tcW w:w="3591" w:type="dxa"/>
            <w:tcBorders>
              <w:bottom w:val="single" w:sz="12" w:space="0" w:color="auto"/>
            </w:tcBorders>
          </w:tcPr>
          <w:p w14:paraId="557B5BEA" w14:textId="07349EC9"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Artificial Intelligence (i.e.</w:t>
            </w:r>
            <w:r>
              <w:rPr>
                <w:rFonts w:eastAsia="Calibri"/>
                <w:sz w:val="20"/>
                <w:szCs w:val="20"/>
                <w:lang w:val="en-US"/>
              </w:rPr>
              <w:t>,</w:t>
            </w:r>
            <w:r w:rsidRPr="003C55AA">
              <w:rPr>
                <w:rFonts w:eastAsia="Calibri"/>
                <w:sz w:val="20"/>
                <w:szCs w:val="20"/>
                <w:lang w:val="en-US"/>
              </w:rPr>
              <w:t xml:space="preserve"> ChatGPT, Gemini, Perplexity, or Llama)</w:t>
            </w:r>
          </w:p>
          <w:p w14:paraId="3532180E" w14:textId="77777777"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Applications (i.e</w:t>
            </w:r>
            <w:r>
              <w:rPr>
                <w:rFonts w:eastAsia="Calibri"/>
                <w:sz w:val="20"/>
                <w:szCs w:val="20"/>
                <w:lang w:val="en-US"/>
              </w:rPr>
              <w:t>.,</w:t>
            </w:r>
            <w:r w:rsidRPr="003C55AA">
              <w:rPr>
                <w:rFonts w:eastAsia="Calibri"/>
                <w:sz w:val="20"/>
                <w:szCs w:val="20"/>
                <w:lang w:val="en-US"/>
              </w:rPr>
              <w:t xml:space="preserve"> Dragon, ToDoist, Notability, Grammarly, or Forest)</w:t>
            </w:r>
          </w:p>
          <w:p w14:paraId="4FD35B53" w14:textId="77777777"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Websites (i.e.</w:t>
            </w:r>
            <w:r>
              <w:rPr>
                <w:rFonts w:eastAsia="Calibri"/>
                <w:sz w:val="20"/>
                <w:szCs w:val="20"/>
                <w:lang w:val="en-US"/>
              </w:rPr>
              <w:t>,</w:t>
            </w:r>
            <w:r w:rsidRPr="003C55AA">
              <w:rPr>
                <w:rFonts w:eastAsia="Calibri"/>
                <w:sz w:val="20"/>
                <w:szCs w:val="20"/>
                <w:lang w:val="en-US"/>
              </w:rPr>
              <w:t xml:space="preserve"> ReadWriteThink, ReadTheory, LearningAtoZ, or Code.org)</w:t>
            </w:r>
          </w:p>
          <w:p w14:paraId="38AA66A2" w14:textId="77777777"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Learning Management Systems (i.e.</w:t>
            </w:r>
            <w:r>
              <w:rPr>
                <w:rFonts w:eastAsia="Calibri"/>
                <w:sz w:val="20"/>
                <w:szCs w:val="20"/>
                <w:lang w:val="en-US"/>
              </w:rPr>
              <w:t>,</w:t>
            </w:r>
            <w:r w:rsidRPr="003C55AA">
              <w:rPr>
                <w:rFonts w:eastAsia="Calibri"/>
                <w:sz w:val="20"/>
                <w:szCs w:val="20"/>
                <w:lang w:val="en-US"/>
              </w:rPr>
              <w:t xml:space="preserve"> Google Classroom, Canvas, Schoology, or Moodle)</w:t>
            </w:r>
          </w:p>
          <w:p w14:paraId="6B0230FC" w14:textId="13C6474F" w:rsidR="00C85CA8" w:rsidRPr="003C55AA"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Content Delivery or Learning Platforms (i.e.</w:t>
            </w:r>
            <w:r>
              <w:rPr>
                <w:rFonts w:eastAsia="Calibri"/>
                <w:sz w:val="20"/>
                <w:szCs w:val="20"/>
                <w:lang w:val="en-US"/>
              </w:rPr>
              <w:t>,</w:t>
            </w:r>
            <w:r w:rsidRPr="003C55AA">
              <w:rPr>
                <w:rFonts w:eastAsia="Calibri"/>
                <w:sz w:val="20"/>
                <w:szCs w:val="20"/>
                <w:lang w:val="en-US"/>
              </w:rPr>
              <w:t xml:space="preserve"> Khan Academy, IXL, NewsELA, Nearpod, or BrainPop)</w:t>
            </w:r>
          </w:p>
        </w:tc>
        <w:tc>
          <w:tcPr>
            <w:tcW w:w="3960" w:type="dxa"/>
            <w:tcBorders>
              <w:bottom w:val="single" w:sz="12" w:space="0" w:color="auto"/>
            </w:tcBorders>
          </w:tcPr>
          <w:p w14:paraId="7C88E50C" w14:textId="77777777"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Hardware</w:t>
            </w:r>
          </w:p>
          <w:p w14:paraId="52C5FEBF" w14:textId="77777777" w:rsidR="00DE4D1E" w:rsidRDefault="00C85CA8" w:rsidP="003E0239">
            <w:pPr>
              <w:spacing w:after="40" w:line="240" w:lineRule="auto"/>
              <w:ind w:left="216" w:hanging="216"/>
              <w:rPr>
                <w:rFonts w:eastAsia="Calibri"/>
                <w:sz w:val="20"/>
                <w:szCs w:val="20"/>
                <w:lang w:val="en-US"/>
              </w:rPr>
            </w:pPr>
            <w:r>
              <w:rPr>
                <w:rFonts w:eastAsia="Calibri"/>
                <w:sz w:val="20"/>
                <w:szCs w:val="20"/>
                <w:lang w:val="en-US"/>
              </w:rPr>
              <w:t>P</w:t>
            </w:r>
            <w:r w:rsidRPr="003C55AA">
              <w:rPr>
                <w:rFonts w:eastAsia="Calibri"/>
                <w:sz w:val="20"/>
                <w:szCs w:val="20"/>
                <w:lang w:val="en-US"/>
              </w:rPr>
              <w:t>ersonal computers (i.e.</w:t>
            </w:r>
            <w:r>
              <w:rPr>
                <w:rFonts w:eastAsia="Calibri"/>
                <w:sz w:val="20"/>
                <w:szCs w:val="20"/>
                <w:lang w:val="en-US"/>
              </w:rPr>
              <w:t>,</w:t>
            </w:r>
            <w:r w:rsidRPr="003C55AA">
              <w:rPr>
                <w:rFonts w:eastAsia="Calibri"/>
                <w:sz w:val="20"/>
                <w:szCs w:val="20"/>
                <w:lang w:val="en-US"/>
              </w:rPr>
              <w:t xml:space="preserve"> laptops, desktops, or Chromebooks)</w:t>
            </w:r>
          </w:p>
          <w:p w14:paraId="4DE0699F" w14:textId="77777777" w:rsidR="00DE4D1E" w:rsidRDefault="00C85CA8" w:rsidP="003E0239">
            <w:pPr>
              <w:spacing w:after="40" w:line="240" w:lineRule="auto"/>
              <w:ind w:left="216" w:hanging="216"/>
              <w:rPr>
                <w:rFonts w:eastAsia="Calibri"/>
                <w:sz w:val="20"/>
                <w:szCs w:val="20"/>
                <w:lang w:val="en-US"/>
              </w:rPr>
            </w:pPr>
            <w:r>
              <w:rPr>
                <w:rFonts w:eastAsia="Calibri"/>
                <w:sz w:val="20"/>
                <w:szCs w:val="20"/>
                <w:lang w:val="en-US"/>
              </w:rPr>
              <w:t>M</w:t>
            </w:r>
            <w:r w:rsidRPr="003C55AA">
              <w:rPr>
                <w:rFonts w:eastAsia="Calibri"/>
                <w:sz w:val="20"/>
                <w:szCs w:val="20"/>
                <w:lang w:val="en-US"/>
              </w:rPr>
              <w:t>obile devices (i.e.</w:t>
            </w:r>
            <w:r>
              <w:rPr>
                <w:rFonts w:eastAsia="Calibri"/>
                <w:sz w:val="20"/>
                <w:szCs w:val="20"/>
                <w:lang w:val="en-US"/>
              </w:rPr>
              <w:t>,</w:t>
            </w:r>
            <w:r w:rsidRPr="003C55AA">
              <w:rPr>
                <w:rFonts w:eastAsia="Calibri"/>
                <w:sz w:val="20"/>
                <w:szCs w:val="20"/>
                <w:lang w:val="en-US"/>
              </w:rPr>
              <w:t xml:space="preserve"> iOS or Android phones and tablets)</w:t>
            </w:r>
          </w:p>
          <w:p w14:paraId="3060955E" w14:textId="045FEACC" w:rsidR="00DE4D1E"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eReaders (i.e.</w:t>
            </w:r>
            <w:r w:rsidR="003F4BCB">
              <w:rPr>
                <w:rFonts w:eastAsia="Calibri"/>
                <w:sz w:val="20"/>
                <w:szCs w:val="20"/>
                <w:lang w:val="en-US"/>
              </w:rPr>
              <w:t>,</w:t>
            </w:r>
            <w:r w:rsidRPr="003C55AA">
              <w:rPr>
                <w:rFonts w:eastAsia="Calibri"/>
                <w:sz w:val="20"/>
                <w:szCs w:val="20"/>
                <w:lang w:val="en-US"/>
              </w:rPr>
              <w:t xml:space="preserve"> Kindle, Nook, or Kobu)</w:t>
            </w:r>
          </w:p>
          <w:p w14:paraId="0E5D1087" w14:textId="77777777" w:rsidR="00DE4D1E" w:rsidRDefault="00C85CA8" w:rsidP="003E0239">
            <w:pPr>
              <w:spacing w:after="40" w:line="240" w:lineRule="auto"/>
              <w:ind w:left="216" w:hanging="216"/>
              <w:rPr>
                <w:rFonts w:eastAsia="Calibri"/>
                <w:sz w:val="20"/>
                <w:szCs w:val="20"/>
                <w:lang w:val="en-US"/>
              </w:rPr>
            </w:pPr>
            <w:r>
              <w:rPr>
                <w:rFonts w:eastAsia="Calibri"/>
                <w:sz w:val="20"/>
                <w:szCs w:val="20"/>
                <w:lang w:val="en-US"/>
              </w:rPr>
              <w:t>E</w:t>
            </w:r>
            <w:r w:rsidRPr="003C55AA">
              <w:rPr>
                <w:rFonts w:eastAsia="Calibri"/>
                <w:sz w:val="20"/>
                <w:szCs w:val="20"/>
                <w:lang w:val="en-US"/>
              </w:rPr>
              <w:t>xtended/virtual reality (XR/VR) headsets (i.e.</w:t>
            </w:r>
            <w:r>
              <w:rPr>
                <w:rFonts w:eastAsia="Calibri"/>
                <w:sz w:val="20"/>
                <w:szCs w:val="20"/>
                <w:lang w:val="en-US"/>
              </w:rPr>
              <w:t>,</w:t>
            </w:r>
            <w:r w:rsidRPr="003C55AA">
              <w:rPr>
                <w:rFonts w:eastAsia="Calibri"/>
                <w:sz w:val="20"/>
                <w:szCs w:val="20"/>
                <w:lang w:val="en-US"/>
              </w:rPr>
              <w:t xml:space="preserve"> Meta Quest, Oculus, HTC Vive, or Apple Vision Pro)</w:t>
            </w:r>
          </w:p>
          <w:p w14:paraId="4E1E2E21" w14:textId="7CA984EA" w:rsidR="00C85CA8" w:rsidRPr="003C55AA" w:rsidRDefault="00C85CA8" w:rsidP="003E0239">
            <w:pPr>
              <w:spacing w:after="40" w:line="240" w:lineRule="auto"/>
              <w:ind w:left="216" w:hanging="216"/>
              <w:rPr>
                <w:rFonts w:eastAsia="Calibri"/>
                <w:sz w:val="20"/>
                <w:szCs w:val="20"/>
                <w:lang w:val="en-US"/>
              </w:rPr>
            </w:pPr>
            <w:r w:rsidRPr="003C55AA">
              <w:rPr>
                <w:rFonts w:eastAsia="Calibri"/>
                <w:sz w:val="20"/>
                <w:szCs w:val="20"/>
                <w:lang w:val="en-US"/>
              </w:rPr>
              <w:t>Interactive Displays (i.e.</w:t>
            </w:r>
            <w:r>
              <w:rPr>
                <w:rFonts w:eastAsia="Calibri"/>
                <w:sz w:val="20"/>
                <w:szCs w:val="20"/>
                <w:lang w:val="en-US"/>
              </w:rPr>
              <w:t>,</w:t>
            </w:r>
            <w:r w:rsidRPr="003C55AA">
              <w:rPr>
                <w:rFonts w:eastAsia="Calibri"/>
                <w:sz w:val="20"/>
                <w:szCs w:val="20"/>
                <w:lang w:val="en-US"/>
              </w:rPr>
              <w:t xml:space="preserve"> SmartBoard, Planer, or BenQ).</w:t>
            </w:r>
          </w:p>
        </w:tc>
        <w:tc>
          <w:tcPr>
            <w:tcW w:w="2502" w:type="dxa"/>
            <w:tcBorders>
              <w:bottom w:val="single" w:sz="12" w:space="0" w:color="auto"/>
            </w:tcBorders>
          </w:tcPr>
          <w:p w14:paraId="7A8B6B4B" w14:textId="77777777" w:rsidR="00DE4D1E" w:rsidRDefault="00C85CA8" w:rsidP="003E0239">
            <w:pPr>
              <w:spacing w:after="40" w:line="240" w:lineRule="auto"/>
              <w:ind w:left="216" w:hanging="216"/>
              <w:rPr>
                <w:rFonts w:eastAsia="Calibri"/>
                <w:sz w:val="20"/>
                <w:szCs w:val="20"/>
                <w:lang w:val="en-US"/>
              </w:rPr>
            </w:pPr>
            <w:r>
              <w:rPr>
                <w:rFonts w:eastAsia="Calibri"/>
                <w:sz w:val="20"/>
                <w:szCs w:val="20"/>
                <w:lang w:val="en-US"/>
              </w:rPr>
              <w:t>Using the dropdown menu, select all categorical examples of technology examined.</w:t>
            </w:r>
          </w:p>
          <w:p w14:paraId="2516BF25" w14:textId="1698F685" w:rsidR="00C85CA8" w:rsidRPr="003C55AA" w:rsidRDefault="00C85CA8" w:rsidP="003E0239">
            <w:pPr>
              <w:spacing w:after="40" w:line="240" w:lineRule="auto"/>
              <w:ind w:left="216" w:hanging="216"/>
              <w:rPr>
                <w:rFonts w:eastAsia="Calibri"/>
                <w:sz w:val="20"/>
                <w:szCs w:val="20"/>
                <w:lang w:val="en-US"/>
              </w:rPr>
            </w:pPr>
            <w:r>
              <w:rPr>
                <w:rFonts w:eastAsia="Calibri"/>
                <w:sz w:val="20"/>
                <w:szCs w:val="20"/>
                <w:lang w:val="en-US"/>
              </w:rPr>
              <w:t>Select the proper unit of analysis (i.e., group design: included article or single</w:t>
            </w:r>
            <w:r w:rsidR="00DE4D1E">
              <w:rPr>
                <w:rFonts w:eastAsia="Calibri"/>
                <w:sz w:val="20"/>
                <w:szCs w:val="20"/>
                <w:lang w:val="en-US"/>
              </w:rPr>
              <w:t>-</w:t>
            </w:r>
            <w:r>
              <w:rPr>
                <w:rFonts w:eastAsia="Calibri"/>
                <w:sz w:val="20"/>
                <w:szCs w:val="20"/>
                <w:lang w:val="en-US"/>
              </w:rPr>
              <w:t>case design: individual participant)</w:t>
            </w:r>
          </w:p>
        </w:tc>
      </w:tr>
    </w:tbl>
    <w:p w14:paraId="15B56124" w14:textId="18ACF4EC" w:rsidR="00CD1D9C" w:rsidRDefault="005A1BDB" w:rsidP="008D03B4">
      <w:pPr>
        <w:spacing w:line="240" w:lineRule="auto"/>
        <w:rPr>
          <w:rFonts w:eastAsia="Calibri"/>
          <w:sz w:val="20"/>
          <w:szCs w:val="20"/>
          <w:lang w:val="en-US"/>
        </w:rPr>
        <w:sectPr w:rsidR="00CD1D9C" w:rsidSect="00A07CAB">
          <w:headerReference w:type="default" r:id="rId17"/>
          <w:headerReference w:type="first" r:id="rId18"/>
          <w:footnotePr>
            <w:pos w:val="beneathText"/>
          </w:footnotePr>
          <w:pgSz w:w="15840" w:h="12240" w:orient="landscape" w:code="1"/>
          <w:pgMar w:top="1440" w:right="1440" w:bottom="1440" w:left="1440" w:header="720" w:footer="720" w:gutter="0"/>
          <w:cols w:space="720"/>
          <w:titlePg/>
          <w:docGrid w:linePitch="360"/>
        </w:sectPr>
      </w:pPr>
      <w:r w:rsidRPr="005A1BDB">
        <w:rPr>
          <w:rFonts w:eastAsia="Calibri"/>
          <w:i/>
          <w:color w:val="000000"/>
          <w:sz w:val="20"/>
          <w:szCs w:val="20"/>
          <w:lang w:val="en-US"/>
        </w:rPr>
        <w:t>Note</w:t>
      </w:r>
      <w:r>
        <w:rPr>
          <w:rFonts w:eastAsia="Calibri"/>
          <w:iCs/>
          <w:color w:val="000000"/>
          <w:sz w:val="20"/>
          <w:szCs w:val="20"/>
          <w:lang w:val="en-US"/>
        </w:rPr>
        <w:t>.</w:t>
      </w:r>
      <w:r w:rsidR="00C85CA8" w:rsidRPr="003C55AA">
        <w:rPr>
          <w:rFonts w:eastAsia="Calibri"/>
          <w:sz w:val="20"/>
          <w:szCs w:val="20"/>
          <w:lang w:val="en-US"/>
        </w:rPr>
        <w:t xml:space="preserve"> Further information on all </w:t>
      </w:r>
      <w:r w:rsidR="00C85CA8">
        <w:rPr>
          <w:rFonts w:eastAsia="Calibri"/>
          <w:sz w:val="20"/>
          <w:szCs w:val="20"/>
          <w:lang w:val="en-US"/>
        </w:rPr>
        <w:t xml:space="preserve">coded </w:t>
      </w:r>
      <w:r w:rsidR="00C85CA8" w:rsidRPr="003C55AA">
        <w:rPr>
          <w:rFonts w:eastAsia="Calibri"/>
          <w:sz w:val="20"/>
          <w:szCs w:val="20"/>
          <w:lang w:val="en-US"/>
        </w:rPr>
        <w:t>educational technology</w:t>
      </w:r>
      <w:r w:rsidR="00C85CA8">
        <w:rPr>
          <w:rFonts w:eastAsia="Calibri"/>
          <w:sz w:val="20"/>
          <w:szCs w:val="20"/>
          <w:lang w:val="en-US"/>
        </w:rPr>
        <w:t xml:space="preserve"> items</w:t>
      </w:r>
      <w:r w:rsidR="00C85CA8" w:rsidRPr="003C55AA">
        <w:rPr>
          <w:rFonts w:eastAsia="Calibri"/>
          <w:sz w:val="20"/>
          <w:szCs w:val="20"/>
          <w:lang w:val="en-US"/>
        </w:rPr>
        <w:t xml:space="preserve"> is provided to coders to ensure all terminology</w:t>
      </w:r>
      <w:r w:rsidR="00C85CA8">
        <w:rPr>
          <w:rFonts w:eastAsia="Calibri"/>
          <w:sz w:val="20"/>
          <w:szCs w:val="20"/>
          <w:lang w:val="en-US"/>
        </w:rPr>
        <w:t xml:space="preserve"> is understood. See the full coding manual via the supplemental materials available on </w:t>
      </w:r>
      <w:r w:rsidR="00C85CA8" w:rsidRPr="00BF5D72">
        <w:rPr>
          <w:rFonts w:eastAsia="Calibri"/>
          <w:sz w:val="20"/>
          <w:szCs w:val="20"/>
          <w:lang w:val="en-US"/>
        </w:rPr>
        <w:t xml:space="preserve">Open Science Framework (OSF): </w:t>
      </w:r>
      <w:hyperlink r:id="rId19" w:history="1">
        <w:r w:rsidR="00530DC7" w:rsidRPr="00AB06FE">
          <w:rPr>
            <w:rStyle w:val="Hyperlink"/>
            <w:rFonts w:eastAsia="Calibri"/>
            <w:sz w:val="20"/>
            <w:szCs w:val="20"/>
            <w:lang w:val="en-US"/>
          </w:rPr>
          <w:t>https://justman.fyi/PDonETinSPED-Review</w:t>
        </w:r>
      </w:hyperlink>
      <w:r w:rsidR="00C85CA8" w:rsidRPr="00BF5D72">
        <w:rPr>
          <w:rFonts w:eastAsia="Calibri"/>
          <w:sz w:val="20"/>
          <w:szCs w:val="20"/>
          <w:lang w:val="en-US"/>
        </w:rPr>
        <w:t>.</w:t>
      </w:r>
    </w:p>
    <w:p w14:paraId="74A62265" w14:textId="12912073" w:rsidR="008D03B4" w:rsidRDefault="008D03B4" w:rsidP="00572B2E">
      <w:pPr>
        <w:pStyle w:val="Heading2"/>
        <w:spacing w:line="240" w:lineRule="auto"/>
        <w:rPr>
          <w:rFonts w:eastAsia="Calibri"/>
          <w:sz w:val="22"/>
          <w:szCs w:val="22"/>
          <w:lang w:val="en-US"/>
        </w:rPr>
      </w:pPr>
      <w:r w:rsidRPr="006D014F">
        <w:rPr>
          <w:rFonts w:eastAsia="Calibri"/>
          <w:lang w:val="en-US"/>
        </w:rPr>
        <w:lastRenderedPageBreak/>
        <w:t>Table</w:t>
      </w:r>
      <w:r w:rsidRPr="003C55AA">
        <w:rPr>
          <w:rFonts w:eastAsia="Calibri"/>
          <w:sz w:val="22"/>
          <w:szCs w:val="22"/>
          <w:lang w:val="en-US"/>
        </w:rPr>
        <w:t xml:space="preserve"> </w:t>
      </w:r>
      <w:r w:rsidR="00572B2E">
        <w:rPr>
          <w:rFonts w:eastAsia="Calibri"/>
          <w:sz w:val="22"/>
          <w:szCs w:val="22"/>
          <w:lang w:val="en-US"/>
        </w:rPr>
        <w:t>3</w:t>
      </w:r>
    </w:p>
    <w:p w14:paraId="4272B4A5" w14:textId="1D999482" w:rsidR="00C85CA8" w:rsidRPr="003C55AA" w:rsidRDefault="00C85CA8" w:rsidP="00C85CA8">
      <w:pPr>
        <w:spacing w:line="240" w:lineRule="auto"/>
        <w:rPr>
          <w:rFonts w:eastAsia="Calibri"/>
          <w:i/>
          <w:iCs/>
          <w:sz w:val="22"/>
          <w:szCs w:val="18"/>
          <w:lang w:val="en-US"/>
        </w:rPr>
      </w:pPr>
      <w:r w:rsidRPr="003C55AA">
        <w:rPr>
          <w:rFonts w:eastAsia="Calibri"/>
          <w:i/>
          <w:iCs/>
          <w:sz w:val="22"/>
          <w:szCs w:val="18"/>
          <w:lang w:val="en-US"/>
        </w:rPr>
        <w:t>Professional Development</w:t>
      </w:r>
      <w:r w:rsidR="001E0FD8">
        <w:rPr>
          <w:rFonts w:eastAsia="Calibri"/>
          <w:i/>
          <w:iCs/>
          <w:sz w:val="22"/>
          <w:szCs w:val="18"/>
          <w:lang w:val="en-US"/>
        </w:rPr>
        <w:t xml:space="preserve"> (PD)</w:t>
      </w:r>
      <w:r w:rsidRPr="003C55AA">
        <w:rPr>
          <w:rFonts w:eastAsia="Calibri"/>
          <w:i/>
          <w:iCs/>
          <w:sz w:val="22"/>
          <w:szCs w:val="18"/>
          <w:lang w:val="en-US"/>
        </w:rPr>
        <w:t xml:space="preserve"> Intervention Variables</w:t>
      </w:r>
    </w:p>
    <w:tbl>
      <w:tblPr>
        <w:tblW w:w="0" w:type="auto"/>
        <w:tblLayout w:type="fixed"/>
        <w:tblLook w:val="0600" w:firstRow="0" w:lastRow="0" w:firstColumn="0" w:lastColumn="0" w:noHBand="1" w:noVBand="1"/>
        <w:tblDescription w:val="Table"/>
      </w:tblPr>
      <w:tblGrid>
        <w:gridCol w:w="1224"/>
        <w:gridCol w:w="2448"/>
        <w:gridCol w:w="2880"/>
        <w:gridCol w:w="2880"/>
        <w:gridCol w:w="3168"/>
      </w:tblGrid>
      <w:tr w:rsidR="00C85CA8" w:rsidRPr="003C55AA" w14:paraId="2AAD6DAC" w14:textId="77777777" w:rsidTr="00F956AA">
        <w:tc>
          <w:tcPr>
            <w:tcW w:w="1224" w:type="dxa"/>
            <w:tcBorders>
              <w:top w:val="single" w:sz="12" w:space="0" w:color="auto"/>
              <w:bottom w:val="single" w:sz="12" w:space="0" w:color="auto"/>
            </w:tcBorders>
          </w:tcPr>
          <w:p w14:paraId="4588F5D5" w14:textId="77777777" w:rsidR="00C85CA8" w:rsidRPr="003C55AA" w:rsidRDefault="00C85CA8" w:rsidP="00E05024">
            <w:pPr>
              <w:spacing w:line="240" w:lineRule="auto"/>
              <w:jc w:val="center"/>
              <w:rPr>
                <w:rFonts w:eastAsia="Calibri"/>
                <w:sz w:val="22"/>
                <w:szCs w:val="22"/>
                <w:lang w:val="en-US"/>
              </w:rPr>
            </w:pPr>
            <w:r w:rsidRPr="003C55AA">
              <w:rPr>
                <w:rFonts w:eastAsia="Calibri"/>
                <w:sz w:val="22"/>
                <w:szCs w:val="22"/>
                <w:lang w:val="en-US"/>
              </w:rPr>
              <w:t>Variable</w:t>
            </w:r>
          </w:p>
        </w:tc>
        <w:tc>
          <w:tcPr>
            <w:tcW w:w="2448" w:type="dxa"/>
            <w:tcBorders>
              <w:top w:val="single" w:sz="12" w:space="0" w:color="auto"/>
              <w:bottom w:val="single" w:sz="12" w:space="0" w:color="auto"/>
            </w:tcBorders>
          </w:tcPr>
          <w:p w14:paraId="324BC8B1" w14:textId="77777777" w:rsidR="00C85CA8" w:rsidRPr="003C55AA" w:rsidRDefault="00C85CA8" w:rsidP="00E05024">
            <w:pPr>
              <w:spacing w:line="240" w:lineRule="auto"/>
              <w:jc w:val="center"/>
              <w:rPr>
                <w:rFonts w:eastAsia="Calibri"/>
                <w:sz w:val="22"/>
                <w:szCs w:val="22"/>
                <w:lang w:val="en-US"/>
              </w:rPr>
            </w:pPr>
            <w:r w:rsidRPr="003C55AA">
              <w:rPr>
                <w:rFonts w:eastAsia="Calibri"/>
                <w:sz w:val="22"/>
                <w:szCs w:val="22"/>
                <w:lang w:val="en-US"/>
              </w:rPr>
              <w:t>Definition</w:t>
            </w:r>
          </w:p>
        </w:tc>
        <w:tc>
          <w:tcPr>
            <w:tcW w:w="2880" w:type="dxa"/>
            <w:tcBorders>
              <w:top w:val="single" w:sz="12" w:space="0" w:color="auto"/>
              <w:bottom w:val="single" w:sz="12" w:space="0" w:color="auto"/>
            </w:tcBorders>
          </w:tcPr>
          <w:p w14:paraId="205EFFC0" w14:textId="77777777" w:rsidR="00C85CA8" w:rsidRPr="003C55AA" w:rsidRDefault="00C85CA8" w:rsidP="00E05024">
            <w:pPr>
              <w:spacing w:line="240" w:lineRule="auto"/>
              <w:jc w:val="center"/>
              <w:rPr>
                <w:rFonts w:eastAsia="Calibri"/>
                <w:sz w:val="22"/>
                <w:szCs w:val="22"/>
                <w:lang w:val="en-US"/>
              </w:rPr>
            </w:pPr>
            <w:r w:rsidRPr="003C55AA">
              <w:rPr>
                <w:rFonts w:eastAsia="Calibri"/>
                <w:sz w:val="22"/>
                <w:szCs w:val="22"/>
                <w:lang w:val="en-US"/>
              </w:rPr>
              <w:t>Example(s)</w:t>
            </w:r>
          </w:p>
        </w:tc>
        <w:tc>
          <w:tcPr>
            <w:tcW w:w="2880" w:type="dxa"/>
            <w:tcBorders>
              <w:top w:val="single" w:sz="12" w:space="0" w:color="auto"/>
              <w:bottom w:val="single" w:sz="12" w:space="0" w:color="auto"/>
            </w:tcBorders>
          </w:tcPr>
          <w:p w14:paraId="77862D3B" w14:textId="2FED74B4" w:rsidR="00C85CA8" w:rsidRPr="003C55AA" w:rsidRDefault="00C85CA8" w:rsidP="00E05024">
            <w:pPr>
              <w:spacing w:line="240" w:lineRule="auto"/>
              <w:jc w:val="center"/>
              <w:rPr>
                <w:rFonts w:eastAsia="Calibri"/>
                <w:sz w:val="22"/>
                <w:szCs w:val="22"/>
                <w:lang w:val="en-US"/>
              </w:rPr>
            </w:pPr>
            <w:r w:rsidRPr="003C55AA">
              <w:rPr>
                <w:rFonts w:eastAsia="Calibri"/>
                <w:sz w:val="22"/>
                <w:szCs w:val="22"/>
                <w:lang w:val="en-US"/>
              </w:rPr>
              <w:t>Non-</w:t>
            </w:r>
            <w:r w:rsidR="00E05024">
              <w:rPr>
                <w:rFonts w:eastAsia="Calibri"/>
                <w:sz w:val="22"/>
                <w:szCs w:val="22"/>
                <w:lang w:val="en-US"/>
              </w:rPr>
              <w:t>e</w:t>
            </w:r>
            <w:r w:rsidRPr="003C55AA">
              <w:rPr>
                <w:rFonts w:eastAsia="Calibri"/>
                <w:sz w:val="22"/>
                <w:szCs w:val="22"/>
                <w:lang w:val="en-US"/>
              </w:rPr>
              <w:t>xample(s)</w:t>
            </w:r>
          </w:p>
        </w:tc>
        <w:tc>
          <w:tcPr>
            <w:tcW w:w="3168" w:type="dxa"/>
            <w:tcBorders>
              <w:top w:val="single" w:sz="12" w:space="0" w:color="auto"/>
              <w:bottom w:val="single" w:sz="12" w:space="0" w:color="auto"/>
            </w:tcBorders>
          </w:tcPr>
          <w:p w14:paraId="71823162" w14:textId="1EE8F751" w:rsidR="00C85CA8" w:rsidRPr="003C55AA" w:rsidRDefault="00C85CA8" w:rsidP="00E05024">
            <w:pPr>
              <w:spacing w:line="240" w:lineRule="auto"/>
              <w:jc w:val="center"/>
              <w:rPr>
                <w:rFonts w:eastAsia="Calibri"/>
                <w:sz w:val="22"/>
                <w:szCs w:val="22"/>
                <w:lang w:val="en-US"/>
              </w:rPr>
            </w:pPr>
            <w:r w:rsidRPr="003C55AA">
              <w:rPr>
                <w:rFonts w:eastAsia="Calibri"/>
                <w:sz w:val="22"/>
                <w:szCs w:val="22"/>
                <w:lang w:val="en-US"/>
              </w:rPr>
              <w:t xml:space="preserve">Specific </w:t>
            </w:r>
            <w:r w:rsidR="00E05024">
              <w:rPr>
                <w:rFonts w:eastAsia="Calibri"/>
                <w:sz w:val="22"/>
                <w:szCs w:val="22"/>
                <w:lang w:val="en-US"/>
              </w:rPr>
              <w:t>d</w:t>
            </w:r>
            <w:r w:rsidRPr="003C55AA">
              <w:rPr>
                <w:rFonts w:eastAsia="Calibri"/>
                <w:sz w:val="22"/>
                <w:szCs w:val="22"/>
                <w:lang w:val="en-US"/>
              </w:rPr>
              <w:t>irection</w:t>
            </w:r>
          </w:p>
        </w:tc>
      </w:tr>
      <w:tr w:rsidR="00C85CA8" w:rsidRPr="00C4161B" w14:paraId="0DD46BD2" w14:textId="77777777" w:rsidTr="003E0239">
        <w:tc>
          <w:tcPr>
            <w:tcW w:w="1224" w:type="dxa"/>
            <w:tcBorders>
              <w:top w:val="single" w:sz="12" w:space="0" w:color="auto"/>
            </w:tcBorders>
          </w:tcPr>
          <w:p w14:paraId="5A5516B5" w14:textId="77777777" w:rsidR="00C85CA8" w:rsidRPr="00C85CA8" w:rsidRDefault="00C85CA8" w:rsidP="00F956AA">
            <w:pPr>
              <w:spacing w:after="20" w:line="240" w:lineRule="auto"/>
              <w:jc w:val="center"/>
              <w:rPr>
                <w:rFonts w:eastAsia="Calibri"/>
                <w:sz w:val="20"/>
                <w:szCs w:val="20"/>
                <w:vertAlign w:val="superscript"/>
                <w:lang w:val="en-US"/>
              </w:rPr>
            </w:pPr>
            <w:r w:rsidRPr="00C85CA8">
              <w:rPr>
                <w:rFonts w:eastAsia="Calibri"/>
                <w:sz w:val="20"/>
                <w:szCs w:val="20"/>
                <w:lang w:val="en-US"/>
              </w:rPr>
              <w:t>Practices / Techniques</w:t>
            </w:r>
            <w:r w:rsidRPr="00C85CA8">
              <w:rPr>
                <w:rFonts w:eastAsia="Calibri"/>
                <w:sz w:val="20"/>
                <w:szCs w:val="20"/>
                <w:vertAlign w:val="superscript"/>
                <w:lang w:val="en-US"/>
              </w:rPr>
              <w:t>1</w:t>
            </w:r>
          </w:p>
        </w:tc>
        <w:tc>
          <w:tcPr>
            <w:tcW w:w="2448" w:type="dxa"/>
            <w:tcBorders>
              <w:top w:val="single" w:sz="12" w:space="0" w:color="auto"/>
            </w:tcBorders>
          </w:tcPr>
          <w:p w14:paraId="0D54F293" w14:textId="79994302"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Specifies the type of format used for </w:t>
            </w:r>
            <w:r w:rsidR="001E0FD8">
              <w:rPr>
                <w:rFonts w:eastAsia="Calibri"/>
                <w:sz w:val="20"/>
                <w:szCs w:val="20"/>
                <w:lang w:val="en-US"/>
              </w:rPr>
              <w:t>PD</w:t>
            </w:r>
            <w:r w:rsidRPr="00C85CA8">
              <w:rPr>
                <w:rFonts w:eastAsia="Calibri"/>
                <w:sz w:val="20"/>
                <w:szCs w:val="20"/>
                <w:lang w:val="en-US"/>
              </w:rPr>
              <w:t xml:space="preserve"> activities that participants received, as reported by study authors</w:t>
            </w:r>
          </w:p>
        </w:tc>
        <w:tc>
          <w:tcPr>
            <w:tcW w:w="2880" w:type="dxa"/>
            <w:tcBorders>
              <w:top w:val="single" w:sz="12" w:space="0" w:color="auto"/>
            </w:tcBorders>
          </w:tcPr>
          <w:p w14:paraId="0EEABC8F" w14:textId="08954821"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John Doe </w:t>
            </w:r>
            <w:r w:rsidR="008025CA" w:rsidRPr="00C85CA8">
              <w:rPr>
                <w:rFonts w:eastAsia="Calibri"/>
                <w:sz w:val="20"/>
                <w:szCs w:val="20"/>
                <w:lang w:val="en-US"/>
              </w:rPr>
              <w:t>took part</w:t>
            </w:r>
            <w:r w:rsidRPr="00C85CA8">
              <w:rPr>
                <w:rFonts w:eastAsia="Calibri"/>
                <w:sz w:val="20"/>
                <w:szCs w:val="20"/>
                <w:lang w:val="en-US"/>
              </w:rPr>
              <w:t xml:space="preserve"> in a workshop about integrating educational technology.</w:t>
            </w:r>
          </w:p>
          <w:p w14:paraId="5E50748B"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Jane Smith received one-on-one coaching on classroom technology integration.</w:t>
            </w:r>
          </w:p>
        </w:tc>
        <w:tc>
          <w:tcPr>
            <w:tcW w:w="2880" w:type="dxa"/>
            <w:tcBorders>
              <w:top w:val="single" w:sz="12" w:space="0" w:color="auto"/>
            </w:tcBorders>
          </w:tcPr>
          <w:p w14:paraId="4F93D3FC" w14:textId="31A0020E"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John attended a </w:t>
            </w:r>
            <w:r w:rsidR="001E0FD8">
              <w:rPr>
                <w:rFonts w:eastAsia="Calibri"/>
                <w:sz w:val="20"/>
                <w:szCs w:val="20"/>
                <w:lang w:val="en-US"/>
              </w:rPr>
              <w:t>PD</w:t>
            </w:r>
            <w:r w:rsidRPr="00C85CA8">
              <w:rPr>
                <w:rFonts w:eastAsia="Calibri"/>
                <w:sz w:val="20"/>
                <w:szCs w:val="20"/>
                <w:lang w:val="en-US"/>
              </w:rPr>
              <w:t xml:space="preserve"> event. (Needs more details about the format.)</w:t>
            </w:r>
          </w:p>
          <w:p w14:paraId="75383C11" w14:textId="559E09B4"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Jane joined a meeting. (Does not specify that it was related to </w:t>
            </w:r>
            <w:r w:rsidR="001E0FD8">
              <w:rPr>
                <w:rFonts w:eastAsia="Calibri"/>
                <w:sz w:val="20"/>
                <w:szCs w:val="20"/>
                <w:lang w:val="en-US"/>
              </w:rPr>
              <w:t>PD</w:t>
            </w:r>
            <w:r w:rsidRPr="00C85CA8">
              <w:rPr>
                <w:rFonts w:eastAsia="Calibri"/>
                <w:sz w:val="20"/>
                <w:szCs w:val="20"/>
                <w:lang w:val="en-US"/>
              </w:rPr>
              <w:t>.)</w:t>
            </w:r>
          </w:p>
        </w:tc>
        <w:tc>
          <w:tcPr>
            <w:tcW w:w="3168" w:type="dxa"/>
            <w:tcBorders>
              <w:top w:val="single" w:sz="12" w:space="0" w:color="auto"/>
            </w:tcBorders>
          </w:tcPr>
          <w:p w14:paraId="096549FF"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Categorize based on format type.</w:t>
            </w:r>
            <w:r w:rsidRPr="00C85CA8">
              <w:rPr>
                <w:rFonts w:eastAsia="Calibri"/>
                <w:sz w:val="20"/>
                <w:szCs w:val="20"/>
                <w:lang w:val="en-US"/>
              </w:rPr>
              <w:br/>
              <w:t>Include all techniques described as being used in the study.</w:t>
            </w:r>
          </w:p>
        </w:tc>
      </w:tr>
      <w:tr w:rsidR="00C85CA8" w:rsidRPr="00C4161B" w14:paraId="7EAA8049" w14:textId="77777777" w:rsidTr="003E0239">
        <w:tc>
          <w:tcPr>
            <w:tcW w:w="1224" w:type="dxa"/>
          </w:tcPr>
          <w:p w14:paraId="293902E6" w14:textId="77777777" w:rsidR="00C85CA8" w:rsidRPr="00C85CA8" w:rsidRDefault="00C85CA8" w:rsidP="00F956AA">
            <w:pPr>
              <w:spacing w:after="20" w:line="240" w:lineRule="auto"/>
              <w:jc w:val="center"/>
              <w:rPr>
                <w:rFonts w:eastAsia="Calibri"/>
                <w:sz w:val="20"/>
                <w:szCs w:val="20"/>
                <w:vertAlign w:val="superscript"/>
                <w:lang w:val="en-US"/>
              </w:rPr>
            </w:pPr>
            <w:r w:rsidRPr="00C85CA8">
              <w:rPr>
                <w:rFonts w:eastAsia="Calibri"/>
                <w:sz w:val="20"/>
                <w:szCs w:val="20"/>
                <w:lang w:val="en-US"/>
              </w:rPr>
              <w:t>Total Time Spent (Hours)</w:t>
            </w:r>
            <w:r w:rsidRPr="00C85CA8">
              <w:rPr>
                <w:rFonts w:eastAsia="Calibri"/>
                <w:sz w:val="20"/>
                <w:szCs w:val="20"/>
                <w:vertAlign w:val="superscript"/>
                <w:lang w:val="en-US"/>
              </w:rPr>
              <w:t>2</w:t>
            </w:r>
          </w:p>
        </w:tc>
        <w:tc>
          <w:tcPr>
            <w:tcW w:w="2448" w:type="dxa"/>
          </w:tcPr>
          <w:p w14:paraId="0B310075" w14:textId="4B8CA840"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total number of hours that participants spent in </w:t>
            </w:r>
            <w:r w:rsidR="001E0FD8">
              <w:rPr>
                <w:rFonts w:eastAsia="Calibri"/>
                <w:sz w:val="20"/>
                <w:szCs w:val="20"/>
                <w:lang w:val="en-US"/>
              </w:rPr>
              <w:t>PD r</w:t>
            </w:r>
            <w:r w:rsidRPr="00C85CA8">
              <w:rPr>
                <w:rFonts w:eastAsia="Calibri"/>
                <w:sz w:val="20"/>
                <w:szCs w:val="20"/>
                <w:lang w:val="en-US"/>
              </w:rPr>
              <w:t>elated to technology integration. This includes formal instruction time, practice sessions, and reflection activities.</w:t>
            </w:r>
          </w:p>
        </w:tc>
        <w:tc>
          <w:tcPr>
            <w:tcW w:w="2880" w:type="dxa"/>
          </w:tcPr>
          <w:p w14:paraId="71EB463E" w14:textId="1D7FDEC1"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Teachers completed 12 hours of training, over three weeks.</w:t>
            </w:r>
          </w:p>
          <w:p w14:paraId="69F2AC23" w14:textId="2FB387CB"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A total of 20 hours of </w:t>
            </w:r>
            <w:r w:rsidR="00877316">
              <w:rPr>
                <w:rFonts w:eastAsia="Calibri"/>
                <w:sz w:val="20"/>
                <w:szCs w:val="20"/>
                <w:lang w:val="en-US"/>
              </w:rPr>
              <w:t>PD</w:t>
            </w:r>
            <w:r w:rsidRPr="00C85CA8">
              <w:rPr>
                <w:rFonts w:eastAsia="Calibri"/>
                <w:sz w:val="20"/>
                <w:szCs w:val="20"/>
                <w:lang w:val="en-US"/>
              </w:rPr>
              <w:t xml:space="preserve"> were reported for the school year.</w:t>
            </w:r>
          </w:p>
        </w:tc>
        <w:tc>
          <w:tcPr>
            <w:tcW w:w="2880" w:type="dxa"/>
          </w:tcPr>
          <w:p w14:paraId="1DC29F0C"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The teachers attended a series of PD sessions. (Lacks specific information about the total number of hours.)</w:t>
            </w:r>
          </w:p>
          <w:p w14:paraId="4E5C4B27" w14:textId="08215521"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w:t>
            </w:r>
            <w:r w:rsidR="001E0FD8">
              <w:rPr>
                <w:rFonts w:eastAsia="Calibri"/>
                <w:sz w:val="20"/>
                <w:szCs w:val="20"/>
                <w:lang w:val="en-US"/>
              </w:rPr>
              <w:t>PD</w:t>
            </w:r>
            <w:r w:rsidRPr="00C85CA8">
              <w:rPr>
                <w:rFonts w:eastAsia="Calibri"/>
                <w:sz w:val="20"/>
                <w:szCs w:val="20"/>
                <w:lang w:val="en-US"/>
              </w:rPr>
              <w:t xml:space="preserve"> lasted for a while. (Too vague—no time specified.)</w:t>
            </w:r>
          </w:p>
        </w:tc>
        <w:tc>
          <w:tcPr>
            <w:tcW w:w="3168" w:type="dxa"/>
          </w:tcPr>
          <w:p w14:paraId="45BBEF0F"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Coders should use the exact number of hours when provided.</w:t>
            </w:r>
          </w:p>
          <w:p w14:paraId="55CEEEC3" w14:textId="19B83746"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If hours are given in ranges, use the midpoint (e.g., 5-10 = 7.5 hours).</w:t>
            </w:r>
            <w:r w:rsidR="001C5912">
              <w:rPr>
                <w:rFonts w:eastAsia="Calibri"/>
                <w:sz w:val="20"/>
                <w:szCs w:val="20"/>
                <w:lang w:val="en-US"/>
              </w:rPr>
              <w:t xml:space="preserve"> </w:t>
            </w:r>
            <w:r w:rsidRPr="00C85CA8">
              <w:rPr>
                <w:rFonts w:eastAsia="Calibri"/>
                <w:sz w:val="20"/>
                <w:szCs w:val="20"/>
                <w:lang w:val="en-US"/>
              </w:rPr>
              <w:t xml:space="preserve">If </w:t>
            </w:r>
            <w:r w:rsidR="00F557B7">
              <w:rPr>
                <w:rFonts w:eastAsia="Calibri"/>
                <w:sz w:val="20"/>
                <w:szCs w:val="20"/>
                <w:lang w:val="en-US"/>
              </w:rPr>
              <w:t>o</w:t>
            </w:r>
            <w:r w:rsidRPr="00C85CA8">
              <w:rPr>
                <w:rFonts w:eastAsia="Calibri"/>
                <w:sz w:val="20"/>
                <w:szCs w:val="20"/>
                <w:lang w:val="en-US"/>
              </w:rPr>
              <w:t xml:space="preserve">nly </w:t>
            </w:r>
            <w:r w:rsidR="00F557B7">
              <w:rPr>
                <w:rFonts w:eastAsia="Calibri"/>
                <w:sz w:val="20"/>
                <w:szCs w:val="20"/>
                <w:lang w:val="en-US"/>
              </w:rPr>
              <w:t>d</w:t>
            </w:r>
            <w:r w:rsidRPr="00C85CA8">
              <w:rPr>
                <w:rFonts w:eastAsia="Calibri"/>
                <w:sz w:val="20"/>
                <w:szCs w:val="20"/>
                <w:lang w:val="en-US"/>
              </w:rPr>
              <w:t xml:space="preserve">ays </w:t>
            </w:r>
            <w:r w:rsidR="00F557B7">
              <w:rPr>
                <w:rFonts w:eastAsia="Calibri"/>
                <w:sz w:val="20"/>
                <w:szCs w:val="20"/>
                <w:lang w:val="en-US"/>
              </w:rPr>
              <w:t>a</w:t>
            </w:r>
            <w:r w:rsidRPr="00C85CA8">
              <w:rPr>
                <w:rFonts w:eastAsia="Calibri"/>
                <w:sz w:val="20"/>
                <w:szCs w:val="20"/>
                <w:lang w:val="en-US"/>
              </w:rPr>
              <w:t xml:space="preserve">re </w:t>
            </w:r>
            <w:r w:rsidR="00F557B7">
              <w:rPr>
                <w:rFonts w:eastAsia="Calibri"/>
                <w:sz w:val="20"/>
                <w:szCs w:val="20"/>
                <w:lang w:val="en-US"/>
              </w:rPr>
              <w:t>r</w:t>
            </w:r>
            <w:r w:rsidRPr="00C85CA8">
              <w:rPr>
                <w:rFonts w:eastAsia="Calibri"/>
                <w:sz w:val="20"/>
                <w:szCs w:val="20"/>
                <w:lang w:val="en-US"/>
              </w:rPr>
              <w:t xml:space="preserve">eported: Assume 6 per day, 3 per half day, </w:t>
            </w:r>
            <w:proofErr w:type="gramStart"/>
            <w:r w:rsidRPr="00C85CA8">
              <w:rPr>
                <w:rFonts w:eastAsia="Calibri"/>
                <w:sz w:val="20"/>
                <w:szCs w:val="20"/>
                <w:lang w:val="en-US"/>
              </w:rPr>
              <w:t>etc.</w:t>
            </w:r>
            <w:proofErr w:type="gramEnd"/>
          </w:p>
        </w:tc>
      </w:tr>
      <w:tr w:rsidR="00C85CA8" w:rsidRPr="00C4161B" w14:paraId="36BBFCC0" w14:textId="77777777" w:rsidTr="003E0239">
        <w:tc>
          <w:tcPr>
            <w:tcW w:w="1224" w:type="dxa"/>
          </w:tcPr>
          <w:p w14:paraId="6E085B5D" w14:textId="77777777" w:rsidR="00C85CA8" w:rsidRPr="00C85CA8" w:rsidRDefault="00C85CA8" w:rsidP="00F956AA">
            <w:pPr>
              <w:spacing w:after="20" w:line="240" w:lineRule="auto"/>
              <w:jc w:val="center"/>
              <w:rPr>
                <w:rFonts w:eastAsia="Calibri"/>
                <w:sz w:val="20"/>
                <w:szCs w:val="20"/>
                <w:vertAlign w:val="superscript"/>
                <w:lang w:val="en-US"/>
              </w:rPr>
            </w:pPr>
            <w:r w:rsidRPr="00C85CA8">
              <w:rPr>
                <w:rFonts w:eastAsia="Calibri"/>
                <w:sz w:val="20"/>
                <w:szCs w:val="20"/>
                <w:lang w:val="en-US"/>
              </w:rPr>
              <w:t>Total Weeks</w:t>
            </w:r>
            <w:r w:rsidRPr="00C85CA8">
              <w:rPr>
                <w:rFonts w:eastAsia="Calibri"/>
                <w:sz w:val="20"/>
                <w:szCs w:val="20"/>
                <w:vertAlign w:val="superscript"/>
                <w:lang w:val="en-US"/>
              </w:rPr>
              <w:t>2</w:t>
            </w:r>
          </w:p>
        </w:tc>
        <w:tc>
          <w:tcPr>
            <w:tcW w:w="2448" w:type="dxa"/>
          </w:tcPr>
          <w:p w14:paraId="51A5FFBC" w14:textId="6E41F90F"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number of weeks over which the </w:t>
            </w:r>
            <w:r w:rsidR="001E0FD8">
              <w:rPr>
                <w:rFonts w:eastAsia="Calibri"/>
                <w:sz w:val="20"/>
                <w:szCs w:val="20"/>
                <w:lang w:val="en-US"/>
              </w:rPr>
              <w:t xml:space="preserve">PD </w:t>
            </w:r>
            <w:r w:rsidRPr="00C85CA8">
              <w:rPr>
                <w:rFonts w:eastAsia="Calibri"/>
                <w:sz w:val="20"/>
                <w:szCs w:val="20"/>
                <w:lang w:val="en-US"/>
              </w:rPr>
              <w:t>activities were spread.</w:t>
            </w:r>
          </w:p>
        </w:tc>
        <w:tc>
          <w:tcPr>
            <w:tcW w:w="2880" w:type="dxa"/>
          </w:tcPr>
          <w:p w14:paraId="6850C05D" w14:textId="0ADB945A"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The PD was spread out over 4 weeks, every Friday.</w:t>
            </w:r>
          </w:p>
          <w:p w14:paraId="7CF08D4B" w14:textId="5DEAFBFC"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Participants attended </w:t>
            </w:r>
            <w:r w:rsidR="001E0FD8">
              <w:rPr>
                <w:rFonts w:eastAsia="Calibri"/>
                <w:sz w:val="20"/>
                <w:szCs w:val="20"/>
                <w:lang w:val="en-US"/>
              </w:rPr>
              <w:t>PD</w:t>
            </w:r>
            <w:r w:rsidRPr="00C85CA8">
              <w:rPr>
                <w:rFonts w:eastAsia="Calibri"/>
                <w:sz w:val="20"/>
                <w:szCs w:val="20"/>
                <w:lang w:val="en-US"/>
              </w:rPr>
              <w:t xml:space="preserve"> activities for 8 weeks.</w:t>
            </w:r>
          </w:p>
        </w:tc>
        <w:tc>
          <w:tcPr>
            <w:tcW w:w="2880" w:type="dxa"/>
          </w:tcPr>
          <w:p w14:paraId="33696A76"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PD lasted </w:t>
            </w:r>
            <w:proofErr w:type="gramStart"/>
            <w:r w:rsidRPr="00C85CA8">
              <w:rPr>
                <w:rFonts w:eastAsia="Calibri"/>
                <w:sz w:val="20"/>
                <w:szCs w:val="20"/>
                <w:lang w:val="en-US"/>
              </w:rPr>
              <w:t>several</w:t>
            </w:r>
            <w:proofErr w:type="gramEnd"/>
            <w:r w:rsidRPr="00C85CA8">
              <w:rPr>
                <w:rFonts w:eastAsia="Calibri"/>
                <w:sz w:val="20"/>
                <w:szCs w:val="20"/>
                <w:lang w:val="en-US"/>
              </w:rPr>
              <w:t xml:space="preserve"> months. (Needs a specific number of weeks.)</w:t>
            </w:r>
          </w:p>
          <w:p w14:paraId="6E260037"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Participants attended PD sessions over time. (Too vague—no clear duration.)</w:t>
            </w:r>
          </w:p>
        </w:tc>
        <w:tc>
          <w:tcPr>
            <w:tcW w:w="3168" w:type="dxa"/>
          </w:tcPr>
          <w:p w14:paraId="42E32588" w14:textId="6EC6E0B9" w:rsidR="00C85CA8" w:rsidRPr="00C85CA8" w:rsidRDefault="00F557B7" w:rsidP="003E0239">
            <w:pPr>
              <w:spacing w:after="20" w:line="240" w:lineRule="auto"/>
              <w:ind w:left="216" w:hanging="216"/>
              <w:rPr>
                <w:rFonts w:eastAsia="Calibri"/>
                <w:sz w:val="20"/>
                <w:szCs w:val="20"/>
                <w:lang w:val="en-US"/>
              </w:rPr>
            </w:pPr>
            <w:r>
              <w:rPr>
                <w:rFonts w:eastAsia="Calibri"/>
                <w:sz w:val="20"/>
                <w:szCs w:val="20"/>
                <w:lang w:val="en-US"/>
              </w:rPr>
              <w:t>U</w:t>
            </w:r>
            <w:r w:rsidR="00C85CA8" w:rsidRPr="00C85CA8">
              <w:rPr>
                <w:rFonts w:eastAsia="Calibri"/>
                <w:sz w:val="20"/>
                <w:szCs w:val="20"/>
                <w:lang w:val="en-US"/>
              </w:rPr>
              <w:t>se the exact number of weeks.</w:t>
            </w:r>
          </w:p>
          <w:p w14:paraId="3E80754D" w14:textId="445D235B" w:rsidR="001C5912"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If only month</w:t>
            </w:r>
            <w:r w:rsidR="001C5912">
              <w:rPr>
                <w:rFonts w:eastAsia="Calibri"/>
                <w:sz w:val="20"/>
                <w:szCs w:val="20"/>
                <w:lang w:val="en-US"/>
              </w:rPr>
              <w:t>s</w:t>
            </w:r>
            <w:r w:rsidRPr="00C85CA8">
              <w:rPr>
                <w:rFonts w:eastAsia="Calibri"/>
                <w:sz w:val="20"/>
                <w:szCs w:val="20"/>
                <w:lang w:val="en-US"/>
              </w:rPr>
              <w:t xml:space="preserve"> </w:t>
            </w:r>
            <w:r w:rsidR="001C5912">
              <w:rPr>
                <w:rFonts w:eastAsia="Calibri"/>
                <w:sz w:val="20"/>
                <w:szCs w:val="20"/>
                <w:lang w:val="en-US"/>
              </w:rPr>
              <w:t>are</w:t>
            </w:r>
            <w:r w:rsidRPr="00C85CA8">
              <w:rPr>
                <w:rFonts w:eastAsia="Calibri"/>
                <w:sz w:val="20"/>
                <w:szCs w:val="20"/>
                <w:lang w:val="en-US"/>
              </w:rPr>
              <w:t xml:space="preserve"> provided, assume 4 weeks per month.</w:t>
            </w:r>
          </w:p>
          <w:p w14:paraId="1F23AD4C" w14:textId="35E22F1E"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Code the total number of weeks for </w:t>
            </w:r>
            <w:r w:rsidR="00F956AA">
              <w:rPr>
                <w:rFonts w:eastAsia="Calibri"/>
                <w:sz w:val="20"/>
                <w:szCs w:val="20"/>
                <w:lang w:val="en-US"/>
              </w:rPr>
              <w:t>multiple</w:t>
            </w:r>
            <w:r w:rsidRPr="00C85CA8">
              <w:rPr>
                <w:rFonts w:eastAsia="Calibri"/>
                <w:sz w:val="20"/>
                <w:szCs w:val="20"/>
                <w:lang w:val="en-US"/>
              </w:rPr>
              <w:t xml:space="preserve"> phases combined.</w:t>
            </w:r>
          </w:p>
        </w:tc>
      </w:tr>
      <w:tr w:rsidR="00C85CA8" w:rsidRPr="00C4161B" w14:paraId="63371F23" w14:textId="77777777" w:rsidTr="003E0239">
        <w:tc>
          <w:tcPr>
            <w:tcW w:w="1224" w:type="dxa"/>
          </w:tcPr>
          <w:p w14:paraId="64DC17CE" w14:textId="77777777" w:rsidR="00C85CA8" w:rsidRPr="00C85CA8" w:rsidRDefault="00C85CA8" w:rsidP="00F956AA">
            <w:pPr>
              <w:spacing w:after="20" w:line="240" w:lineRule="auto"/>
              <w:jc w:val="center"/>
              <w:rPr>
                <w:rFonts w:eastAsia="Calibri"/>
                <w:sz w:val="20"/>
                <w:szCs w:val="20"/>
                <w:vertAlign w:val="superscript"/>
                <w:lang w:val="en-US"/>
              </w:rPr>
            </w:pPr>
            <w:r w:rsidRPr="00C85CA8">
              <w:rPr>
                <w:rFonts w:eastAsia="Calibri"/>
                <w:sz w:val="20"/>
                <w:szCs w:val="20"/>
                <w:lang w:val="en-US"/>
              </w:rPr>
              <w:t>Total Sessions</w:t>
            </w:r>
            <w:r w:rsidRPr="00C85CA8">
              <w:rPr>
                <w:rFonts w:eastAsia="Calibri"/>
                <w:sz w:val="20"/>
                <w:szCs w:val="20"/>
                <w:vertAlign w:val="superscript"/>
                <w:lang w:val="en-US"/>
              </w:rPr>
              <w:t>2</w:t>
            </w:r>
          </w:p>
        </w:tc>
        <w:tc>
          <w:tcPr>
            <w:tcW w:w="2448" w:type="dxa"/>
          </w:tcPr>
          <w:p w14:paraId="6A8A33AB" w14:textId="3C0B9593"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total number of individual sessions or meetings that were part of </w:t>
            </w:r>
            <w:r w:rsidR="001E0FD8">
              <w:rPr>
                <w:rFonts w:eastAsia="Calibri"/>
                <w:sz w:val="20"/>
                <w:szCs w:val="20"/>
                <w:lang w:val="en-US"/>
              </w:rPr>
              <w:t>PD</w:t>
            </w:r>
            <w:r w:rsidRPr="00C85CA8">
              <w:rPr>
                <w:rFonts w:eastAsia="Calibri"/>
                <w:sz w:val="20"/>
                <w:szCs w:val="20"/>
                <w:lang w:val="en-US"/>
              </w:rPr>
              <w:t>. This includes both live and online meetings.</w:t>
            </w:r>
          </w:p>
        </w:tc>
        <w:tc>
          <w:tcPr>
            <w:tcW w:w="2880" w:type="dxa"/>
          </w:tcPr>
          <w:p w14:paraId="52ED0E4C"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Teachers attended 10 sessions, each lasting 90 minutes.</w:t>
            </w:r>
          </w:p>
          <w:p w14:paraId="6B4A5804" w14:textId="43ED7AC6"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w:t>
            </w:r>
            <w:r w:rsidR="001E0FD8">
              <w:rPr>
                <w:rFonts w:eastAsia="Calibri"/>
                <w:sz w:val="20"/>
                <w:szCs w:val="20"/>
                <w:lang w:val="en-US"/>
              </w:rPr>
              <w:t>PD</w:t>
            </w:r>
            <w:r w:rsidRPr="00C85CA8">
              <w:rPr>
                <w:rFonts w:eastAsia="Calibri"/>
                <w:sz w:val="20"/>
                <w:szCs w:val="20"/>
                <w:lang w:val="en-US"/>
              </w:rPr>
              <w:t xml:space="preserve"> included 5 group sessions and 3 follow-up coaching meetings.</w:t>
            </w:r>
          </w:p>
        </w:tc>
        <w:tc>
          <w:tcPr>
            <w:tcW w:w="2880" w:type="dxa"/>
          </w:tcPr>
          <w:p w14:paraId="1E1F8C90"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The PD had multiple sessions. (Needs an exact number.)</w:t>
            </w:r>
          </w:p>
          <w:p w14:paraId="3B603493"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Sessions were conducted on an ongoing basis. (Too vague without specific session counts.)</w:t>
            </w:r>
          </w:p>
        </w:tc>
        <w:tc>
          <w:tcPr>
            <w:tcW w:w="3168" w:type="dxa"/>
          </w:tcPr>
          <w:p w14:paraId="120F6FFD"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Include all formal sessions, whether group-based, individual, or follow-up meetings.</w:t>
            </w:r>
          </w:p>
          <w:p w14:paraId="7547EC0A" w14:textId="7777777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If Sessions Are Given in Ranges: Use the midpoint (e.g., 4-6 sessions = 5 sessions).</w:t>
            </w:r>
          </w:p>
        </w:tc>
      </w:tr>
      <w:tr w:rsidR="00C85CA8" w:rsidRPr="00C4161B" w14:paraId="36F844FD" w14:textId="77777777" w:rsidTr="003E0239">
        <w:tc>
          <w:tcPr>
            <w:tcW w:w="1224" w:type="dxa"/>
            <w:tcBorders>
              <w:bottom w:val="single" w:sz="12" w:space="0" w:color="auto"/>
            </w:tcBorders>
          </w:tcPr>
          <w:p w14:paraId="54B263F2" w14:textId="77777777" w:rsidR="00C85CA8" w:rsidRPr="00C85CA8" w:rsidRDefault="00C85CA8" w:rsidP="00F956AA">
            <w:pPr>
              <w:spacing w:after="20" w:line="240" w:lineRule="auto"/>
              <w:jc w:val="center"/>
              <w:rPr>
                <w:rFonts w:eastAsia="Calibri"/>
                <w:sz w:val="20"/>
                <w:szCs w:val="20"/>
                <w:vertAlign w:val="superscript"/>
                <w:lang w:val="en-US"/>
              </w:rPr>
            </w:pPr>
            <w:r w:rsidRPr="00C85CA8">
              <w:rPr>
                <w:rFonts w:eastAsia="Calibri"/>
                <w:sz w:val="20"/>
                <w:szCs w:val="20"/>
                <w:lang w:val="en-US"/>
              </w:rPr>
              <w:t>Follow Up or Ongoing Support Provided</w:t>
            </w:r>
            <w:r w:rsidRPr="00C85CA8">
              <w:rPr>
                <w:rFonts w:eastAsia="Calibri"/>
                <w:sz w:val="20"/>
                <w:szCs w:val="20"/>
                <w:vertAlign w:val="superscript"/>
                <w:lang w:val="en-US"/>
              </w:rPr>
              <w:t>3</w:t>
            </w:r>
          </w:p>
        </w:tc>
        <w:tc>
          <w:tcPr>
            <w:tcW w:w="2448" w:type="dxa"/>
            <w:tcBorders>
              <w:bottom w:val="single" w:sz="12" w:space="0" w:color="auto"/>
            </w:tcBorders>
          </w:tcPr>
          <w:p w14:paraId="5AB119C6" w14:textId="3C307147"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Indicates whether participants received support or follow-up after the initial </w:t>
            </w:r>
            <w:r w:rsidR="001E0FD8">
              <w:rPr>
                <w:rFonts w:eastAsia="Calibri"/>
                <w:sz w:val="20"/>
                <w:szCs w:val="20"/>
                <w:lang w:val="en-US"/>
              </w:rPr>
              <w:t xml:space="preserve">PD </w:t>
            </w:r>
            <w:r w:rsidRPr="00C85CA8">
              <w:rPr>
                <w:rFonts w:eastAsia="Calibri"/>
                <w:sz w:val="20"/>
                <w:szCs w:val="20"/>
                <w:lang w:val="en-US"/>
              </w:rPr>
              <w:t xml:space="preserve">sessions. </w:t>
            </w:r>
            <w:r w:rsidR="00F956AA">
              <w:rPr>
                <w:rFonts w:eastAsia="Calibri"/>
                <w:sz w:val="20"/>
                <w:szCs w:val="20"/>
                <w:lang w:val="en-US"/>
              </w:rPr>
              <w:t>(i.e.,</w:t>
            </w:r>
            <w:r w:rsidRPr="00C85CA8">
              <w:rPr>
                <w:rFonts w:eastAsia="Calibri"/>
                <w:sz w:val="20"/>
                <w:szCs w:val="20"/>
                <w:lang w:val="en-US"/>
              </w:rPr>
              <w:t xml:space="preserve"> coaching, feedback, online resources, or mentoring</w:t>
            </w:r>
            <w:r w:rsidR="00F956AA">
              <w:rPr>
                <w:rFonts w:eastAsia="Calibri"/>
                <w:sz w:val="20"/>
                <w:szCs w:val="20"/>
                <w:lang w:val="en-US"/>
              </w:rPr>
              <w:t>)</w:t>
            </w:r>
            <w:r w:rsidRPr="00C85CA8">
              <w:rPr>
                <w:rFonts w:eastAsia="Calibri"/>
                <w:sz w:val="20"/>
                <w:szCs w:val="20"/>
                <w:lang w:val="en-US"/>
              </w:rPr>
              <w:t>.</w:t>
            </w:r>
          </w:p>
        </w:tc>
        <w:tc>
          <w:tcPr>
            <w:tcW w:w="2880" w:type="dxa"/>
            <w:tcBorders>
              <w:bottom w:val="single" w:sz="12" w:space="0" w:color="auto"/>
            </w:tcBorders>
          </w:tcPr>
          <w:p w14:paraId="4982BDC0" w14:textId="77777777" w:rsidR="00F557B7"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Teachers received monthly coaching sessions as follow-up support after the initial PD.</w:t>
            </w:r>
          </w:p>
          <w:p w14:paraId="5736991F" w14:textId="58651368"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Participants had access to an online community where they could ask questions for three months following the training.</w:t>
            </w:r>
          </w:p>
        </w:tc>
        <w:tc>
          <w:tcPr>
            <w:tcW w:w="2880" w:type="dxa"/>
            <w:tcBorders>
              <w:bottom w:val="single" w:sz="12" w:space="0" w:color="auto"/>
            </w:tcBorders>
          </w:tcPr>
          <w:p w14:paraId="4444A659" w14:textId="77777777" w:rsidR="00877316"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 xml:space="preserve">The PD was delivered, but follow-up was </w:t>
            </w:r>
            <w:r w:rsidR="00F557B7">
              <w:rPr>
                <w:rFonts w:eastAsia="Calibri"/>
                <w:sz w:val="20"/>
                <w:szCs w:val="20"/>
                <w:lang w:val="en-US"/>
              </w:rPr>
              <w:t xml:space="preserve">not </w:t>
            </w:r>
            <w:r w:rsidRPr="00C85CA8">
              <w:rPr>
                <w:rFonts w:eastAsia="Calibri"/>
                <w:sz w:val="20"/>
                <w:szCs w:val="20"/>
                <w:lang w:val="en-US"/>
              </w:rPr>
              <w:t>made. (No support was explicitly stated.)</w:t>
            </w:r>
          </w:p>
          <w:p w14:paraId="649D0C15" w14:textId="078995CE"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The teachers were left to implement the learning on their own. (No ongoing support provided.)</w:t>
            </w:r>
          </w:p>
        </w:tc>
        <w:tc>
          <w:tcPr>
            <w:tcW w:w="3168" w:type="dxa"/>
            <w:tcBorders>
              <w:bottom w:val="single" w:sz="12" w:space="0" w:color="auto"/>
            </w:tcBorders>
          </w:tcPr>
          <w:p w14:paraId="5B6E7766" w14:textId="77777777" w:rsidR="00877316"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If explicit follow-up support is mentioned (e.g., regular coaching, resources), “Yes.”</w:t>
            </w:r>
          </w:p>
          <w:p w14:paraId="77E568F4" w14:textId="6B349614" w:rsidR="00C85CA8" w:rsidRPr="00C85CA8" w:rsidRDefault="00C85CA8" w:rsidP="003E0239">
            <w:pPr>
              <w:spacing w:after="20" w:line="240" w:lineRule="auto"/>
              <w:ind w:left="216" w:hanging="216"/>
              <w:rPr>
                <w:rFonts w:eastAsia="Calibri"/>
                <w:sz w:val="20"/>
                <w:szCs w:val="20"/>
                <w:lang w:val="en-US"/>
              </w:rPr>
            </w:pPr>
            <w:r w:rsidRPr="00C85CA8">
              <w:rPr>
                <w:rFonts w:eastAsia="Calibri"/>
                <w:sz w:val="20"/>
                <w:szCs w:val="20"/>
                <w:lang w:val="en-US"/>
              </w:rPr>
              <w:t>If explicit follow-up support is listed as not being provided, "No."</w:t>
            </w:r>
          </w:p>
        </w:tc>
      </w:tr>
    </w:tbl>
    <w:p w14:paraId="2916EC5C" w14:textId="6724AF30" w:rsidR="00BB4804" w:rsidRPr="00A322EC" w:rsidRDefault="005A1BDB" w:rsidP="005A1BDB">
      <w:pPr>
        <w:pStyle w:val="NoSpacing"/>
        <w:jc w:val="left"/>
        <w:rPr>
          <w:b/>
          <w:bCs/>
          <w:sz w:val="24"/>
          <w:szCs w:val="24"/>
        </w:rPr>
      </w:pPr>
      <w:r w:rsidRPr="005A1BDB">
        <w:rPr>
          <w:i/>
          <w:iCs/>
        </w:rPr>
        <w:t>Note</w:t>
      </w:r>
      <w:r w:rsidRPr="005A1BDB">
        <w:t>.</w:t>
      </w:r>
      <w:r w:rsidR="00C85CA8" w:rsidRPr="005A1BDB">
        <w:t xml:space="preserve"> Options</w:t>
      </w:r>
      <w:r w:rsidR="00C85CA8" w:rsidRPr="00BB4804">
        <w:rPr>
          <w:rFonts w:eastAsia="Calibri"/>
        </w:rPr>
        <w:t xml:space="preserve"> for each variable are included</w:t>
      </w:r>
      <w:r w:rsidR="00FC38F3">
        <w:rPr>
          <w:rFonts w:eastAsia="Calibri"/>
        </w:rPr>
        <w:t>:</w:t>
      </w:r>
      <w:r w:rsidR="00C85CA8" w:rsidRPr="00BB4804">
        <w:rPr>
          <w:rFonts w:eastAsia="Calibri"/>
          <w:vertAlign w:val="superscript"/>
        </w:rPr>
        <w:t xml:space="preserve"> 1</w:t>
      </w:r>
      <w:r w:rsidR="00C85CA8" w:rsidRPr="00BB4804">
        <w:rPr>
          <w:rFonts w:eastAsia="Calibri"/>
        </w:rPr>
        <w:t xml:space="preserve">Collaborative Progress Monitoring, Live Model, Video Model, Role Play, Independent Practice, Self Reflection, Performance Feedback, Written Directions, Problem-Solving Discussions, In-Service, Peer Mentoring, Community of Practice </w:t>
      </w:r>
      <w:r w:rsidR="00C85CA8" w:rsidRPr="00BB4804">
        <w:rPr>
          <w:rFonts w:eastAsia="Calibri"/>
          <w:vertAlign w:val="superscript"/>
        </w:rPr>
        <w:t>2</w:t>
      </w:r>
      <w:r w:rsidR="00C85CA8" w:rsidRPr="00BB4804">
        <w:rPr>
          <w:rFonts w:eastAsia="Calibri"/>
        </w:rPr>
        <w:t xml:space="preserve">1, 2, 3, 4, 5, 6, 7, 8, 9, 10, 11, 12, 13, 14, 15, etc. </w:t>
      </w:r>
      <w:r w:rsidR="00C85CA8" w:rsidRPr="00BB4804">
        <w:rPr>
          <w:rFonts w:eastAsia="Calibri"/>
          <w:vertAlign w:val="superscript"/>
        </w:rPr>
        <w:t>3</w:t>
      </w:r>
      <w:r w:rsidR="00C85CA8" w:rsidRPr="00BB4804">
        <w:rPr>
          <w:rFonts w:eastAsia="Calibri"/>
        </w:rPr>
        <w:t>Yes, No</w:t>
      </w:r>
      <w:r>
        <w:rPr>
          <w:rFonts w:eastAsia="Calibri"/>
        </w:rPr>
        <w:t>.</w:t>
      </w:r>
      <w:r w:rsidR="00C85CA8" w:rsidRPr="00A322EC">
        <w:rPr>
          <w:rFonts w:eastAsia="Calibri"/>
          <w:b/>
          <w:bCs/>
          <w:sz w:val="24"/>
          <w:szCs w:val="24"/>
        </w:rPr>
        <w:br w:type="page"/>
      </w:r>
      <w:r w:rsidR="00BB4804" w:rsidRPr="00F646D8">
        <w:rPr>
          <w:rStyle w:val="Heading2Char"/>
          <w:sz w:val="24"/>
          <w:szCs w:val="24"/>
        </w:rPr>
        <w:lastRenderedPageBreak/>
        <w:t xml:space="preserve">Table </w:t>
      </w:r>
      <w:r w:rsidR="003E0239" w:rsidRPr="00F646D8">
        <w:rPr>
          <w:rStyle w:val="Heading2Char"/>
          <w:sz w:val="24"/>
          <w:szCs w:val="24"/>
        </w:rPr>
        <w:t>4</w:t>
      </w:r>
    </w:p>
    <w:p w14:paraId="6F7658D1" w14:textId="77777777" w:rsidR="00BB4804" w:rsidRPr="00AE4568" w:rsidRDefault="00BB4804" w:rsidP="00AE4568">
      <w:pPr>
        <w:pStyle w:val="NoSpacing"/>
        <w:spacing w:line="480" w:lineRule="auto"/>
        <w:jc w:val="left"/>
        <w:rPr>
          <w:sz w:val="24"/>
          <w:szCs w:val="24"/>
        </w:rPr>
      </w:pPr>
      <w:r w:rsidRPr="00AE4568">
        <w:rPr>
          <w:rStyle w:val="Emphasis"/>
          <w:sz w:val="24"/>
          <w:szCs w:val="24"/>
        </w:rPr>
        <w:t>Highlighted Case Study Participants and Setting Variables</w:t>
      </w:r>
    </w:p>
    <w:tbl>
      <w:tblPr>
        <w:tblStyle w:val="APAReport"/>
        <w:tblW w:w="5000" w:type="pct"/>
        <w:tblLayout w:type="fixed"/>
        <w:tblLook w:val="04A0" w:firstRow="1" w:lastRow="0" w:firstColumn="1" w:lastColumn="0" w:noHBand="0" w:noVBand="1"/>
        <w:tblCaption w:val="Sample 5-column table"/>
      </w:tblPr>
      <w:tblGrid>
        <w:gridCol w:w="2433"/>
        <w:gridCol w:w="1171"/>
        <w:gridCol w:w="85"/>
        <w:gridCol w:w="1086"/>
        <w:gridCol w:w="1439"/>
        <w:gridCol w:w="1716"/>
        <w:gridCol w:w="270"/>
        <w:gridCol w:w="809"/>
        <w:gridCol w:w="993"/>
        <w:gridCol w:w="977"/>
        <w:gridCol w:w="1172"/>
        <w:gridCol w:w="809"/>
      </w:tblGrid>
      <w:tr w:rsidR="00581152" w:rsidRPr="008D371A" w14:paraId="449F3881" w14:textId="77777777" w:rsidTr="00F30547">
        <w:trPr>
          <w:cnfStyle w:val="100000000000" w:firstRow="1" w:lastRow="0" w:firstColumn="0" w:lastColumn="0" w:oddVBand="0" w:evenVBand="0" w:oddHBand="0" w:evenHBand="0" w:firstRowFirstColumn="0" w:firstRowLastColumn="0" w:lastRowFirstColumn="0" w:lastRowLastColumn="0"/>
        </w:trPr>
        <w:tc>
          <w:tcPr>
            <w:tcW w:w="939" w:type="pct"/>
            <w:tcBorders>
              <w:bottom w:val="nil"/>
            </w:tcBorders>
            <w:vAlign w:val="bottom"/>
          </w:tcPr>
          <w:p w14:paraId="2A3A2A23" w14:textId="77777777" w:rsidR="00BB4804" w:rsidRDefault="00BB4804" w:rsidP="00F30547">
            <w:pPr>
              <w:pStyle w:val="NoSpacing"/>
              <w:rPr>
                <w:rFonts w:ascii="Times New Roman" w:hAnsi="Times New Roman" w:cs="Times New Roman"/>
              </w:rPr>
            </w:pPr>
          </w:p>
        </w:tc>
        <w:tc>
          <w:tcPr>
            <w:tcW w:w="485" w:type="pct"/>
            <w:gridSpan w:val="2"/>
            <w:tcBorders>
              <w:bottom w:val="nil"/>
            </w:tcBorders>
            <w:vAlign w:val="bottom"/>
          </w:tcPr>
          <w:p w14:paraId="146F3CE3" w14:textId="77777777" w:rsidR="00BB4804" w:rsidRPr="00030481" w:rsidRDefault="00BB4804" w:rsidP="00F30547">
            <w:pPr>
              <w:pStyle w:val="NoSpacing"/>
              <w:rPr>
                <w:rFonts w:ascii="Times New Roman" w:hAnsi="Times New Roman" w:cs="Times New Roman"/>
              </w:rPr>
            </w:pPr>
          </w:p>
        </w:tc>
        <w:tc>
          <w:tcPr>
            <w:tcW w:w="1636" w:type="pct"/>
            <w:gridSpan w:val="3"/>
            <w:vAlign w:val="bottom"/>
          </w:tcPr>
          <w:p w14:paraId="0A7F7E79" w14:textId="77777777" w:rsidR="00BB4804" w:rsidRPr="00030481" w:rsidRDefault="00BB4804" w:rsidP="00F30547">
            <w:pPr>
              <w:pStyle w:val="NoSpacing"/>
              <w:rPr>
                <w:rFonts w:ascii="Times New Roman" w:hAnsi="Times New Roman" w:cs="Times New Roman"/>
              </w:rPr>
            </w:pPr>
            <w:r>
              <w:rPr>
                <w:rFonts w:ascii="Times New Roman" w:hAnsi="Times New Roman" w:cs="Times New Roman"/>
              </w:rPr>
              <w:t>Participant</w:t>
            </w:r>
          </w:p>
        </w:tc>
        <w:tc>
          <w:tcPr>
            <w:tcW w:w="104" w:type="pct"/>
            <w:tcBorders>
              <w:bottom w:val="nil"/>
            </w:tcBorders>
            <w:vAlign w:val="bottom"/>
          </w:tcPr>
          <w:p w14:paraId="5823AFAA" w14:textId="77777777" w:rsidR="00BB4804" w:rsidRDefault="00BB4804" w:rsidP="00F30547">
            <w:pPr>
              <w:pStyle w:val="NoSpacing"/>
              <w:rPr>
                <w:rFonts w:ascii="Times New Roman" w:hAnsi="Times New Roman" w:cs="Times New Roman"/>
              </w:rPr>
            </w:pPr>
          </w:p>
        </w:tc>
        <w:tc>
          <w:tcPr>
            <w:tcW w:w="1836" w:type="pct"/>
            <w:gridSpan w:val="5"/>
            <w:vAlign w:val="bottom"/>
          </w:tcPr>
          <w:p w14:paraId="6C16E013" w14:textId="77777777" w:rsidR="00BB4804" w:rsidRDefault="00BB4804" w:rsidP="00F30547">
            <w:pPr>
              <w:pStyle w:val="NoSpacing"/>
              <w:rPr>
                <w:rFonts w:ascii="Times New Roman" w:hAnsi="Times New Roman" w:cs="Times New Roman"/>
              </w:rPr>
            </w:pPr>
            <w:r>
              <w:rPr>
                <w:rFonts w:ascii="Times New Roman" w:hAnsi="Times New Roman" w:cs="Times New Roman"/>
              </w:rPr>
              <w:t>Setting</w:t>
            </w:r>
          </w:p>
        </w:tc>
      </w:tr>
      <w:tr w:rsidR="00581152" w:rsidRPr="008D371A" w14:paraId="75C7EFBB" w14:textId="77777777" w:rsidTr="00F30547">
        <w:tc>
          <w:tcPr>
            <w:tcW w:w="939" w:type="pct"/>
            <w:tcBorders>
              <w:top w:val="nil"/>
              <w:bottom w:val="single" w:sz="12" w:space="0" w:color="auto"/>
              <w:right w:val="nil"/>
            </w:tcBorders>
            <w:vAlign w:val="bottom"/>
          </w:tcPr>
          <w:p w14:paraId="2B47939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Record</w:t>
            </w:r>
          </w:p>
        </w:tc>
        <w:tc>
          <w:tcPr>
            <w:tcW w:w="452" w:type="pct"/>
            <w:tcBorders>
              <w:top w:val="nil"/>
              <w:left w:val="nil"/>
              <w:bottom w:val="single" w:sz="12" w:space="0" w:color="auto"/>
              <w:right w:val="nil"/>
            </w:tcBorders>
            <w:vAlign w:val="bottom"/>
          </w:tcPr>
          <w:p w14:paraId="73F5E2D1" w14:textId="77777777" w:rsidR="00BB4804" w:rsidRPr="00B009B6" w:rsidRDefault="00BB4804" w:rsidP="00F30547">
            <w:pPr>
              <w:pStyle w:val="NoSpacing"/>
              <w:rPr>
                <w:rFonts w:ascii="Times New Roman" w:hAnsi="Times New Roman" w:cs="Times New Roman"/>
                <w:vertAlign w:val="superscript"/>
              </w:rPr>
            </w:pPr>
            <w:r w:rsidRPr="008D371A">
              <w:rPr>
                <w:rFonts w:ascii="Times New Roman" w:hAnsi="Times New Roman" w:cs="Times New Roman"/>
              </w:rPr>
              <w:t>Participant</w:t>
            </w:r>
            <w:r>
              <w:rPr>
                <w:rFonts w:ascii="Times New Roman" w:hAnsi="Times New Roman" w:cs="Times New Roman"/>
              </w:rPr>
              <w:t xml:space="preserve"> ID</w:t>
            </w:r>
          </w:p>
        </w:tc>
        <w:tc>
          <w:tcPr>
            <w:tcW w:w="452" w:type="pct"/>
            <w:gridSpan w:val="2"/>
            <w:tcBorders>
              <w:top w:val="nil"/>
              <w:left w:val="nil"/>
              <w:bottom w:val="single" w:sz="12" w:space="0" w:color="auto"/>
              <w:right w:val="nil"/>
            </w:tcBorders>
            <w:vAlign w:val="bottom"/>
          </w:tcPr>
          <w:p w14:paraId="3B0B5966"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Years of Experience</w:t>
            </w:r>
          </w:p>
        </w:tc>
        <w:tc>
          <w:tcPr>
            <w:tcW w:w="555" w:type="pct"/>
            <w:tcBorders>
              <w:top w:val="nil"/>
              <w:left w:val="nil"/>
              <w:bottom w:val="single" w:sz="12" w:space="0" w:color="auto"/>
              <w:right w:val="nil"/>
            </w:tcBorders>
            <w:vAlign w:val="bottom"/>
          </w:tcPr>
          <w:p w14:paraId="3D716011"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 xml:space="preserve">Grade Levels </w:t>
            </w:r>
            <w:r w:rsidRPr="00AB55FD">
              <w:t>Taught</w:t>
            </w:r>
          </w:p>
        </w:tc>
        <w:tc>
          <w:tcPr>
            <w:tcW w:w="662" w:type="pct"/>
            <w:tcBorders>
              <w:top w:val="nil"/>
              <w:left w:val="nil"/>
              <w:bottom w:val="single" w:sz="12" w:space="0" w:color="auto"/>
              <w:right w:val="nil"/>
            </w:tcBorders>
            <w:vAlign w:val="bottom"/>
          </w:tcPr>
          <w:p w14:paraId="417F46FD" w14:textId="77777777" w:rsidR="00BB4804" w:rsidRDefault="00BB4804" w:rsidP="00F30547">
            <w:pPr>
              <w:pStyle w:val="NoSpacing"/>
              <w:rPr>
                <w:rFonts w:ascii="Times New Roman" w:hAnsi="Times New Roman" w:cs="Times New Roman"/>
              </w:rPr>
            </w:pPr>
            <w:r w:rsidRPr="00030481">
              <w:rPr>
                <w:rFonts w:ascii="Times New Roman" w:hAnsi="Times New Roman" w:cs="Times New Roman"/>
              </w:rPr>
              <w:t>Self</w:t>
            </w:r>
            <w:r>
              <w:rPr>
                <w:rFonts w:ascii="Times New Roman" w:hAnsi="Times New Roman" w:cs="Times New Roman"/>
              </w:rPr>
              <w:t>-</w:t>
            </w:r>
            <w:r w:rsidRPr="00030481">
              <w:rPr>
                <w:rFonts w:ascii="Times New Roman" w:hAnsi="Times New Roman" w:cs="Times New Roman"/>
              </w:rPr>
              <w:t>Reported</w:t>
            </w:r>
            <w:r>
              <w:rPr>
                <w:rFonts w:ascii="Times New Roman" w:hAnsi="Times New Roman" w:cs="Times New Roman"/>
              </w:rPr>
              <w:t xml:space="preserve"> </w:t>
            </w:r>
            <w:r w:rsidRPr="00030481">
              <w:rPr>
                <w:rFonts w:ascii="Times New Roman" w:hAnsi="Times New Roman" w:cs="Times New Roman"/>
              </w:rPr>
              <w:t>Technology</w:t>
            </w:r>
            <w:r>
              <w:rPr>
                <w:rFonts w:ascii="Times New Roman" w:hAnsi="Times New Roman" w:cs="Times New Roman"/>
              </w:rPr>
              <w:t xml:space="preserve"> </w:t>
            </w:r>
            <w:r w:rsidRPr="00030481">
              <w:rPr>
                <w:rFonts w:ascii="Times New Roman" w:hAnsi="Times New Roman" w:cs="Times New Roman"/>
              </w:rPr>
              <w:t>Use</w:t>
            </w:r>
            <w:r>
              <w:rPr>
                <w:rFonts w:ascii="Times New Roman" w:hAnsi="Times New Roman" w:cs="Times New Roman"/>
              </w:rPr>
              <w:t xml:space="preserve"> in Teaching Practice</w:t>
            </w:r>
          </w:p>
        </w:tc>
        <w:tc>
          <w:tcPr>
            <w:tcW w:w="104" w:type="pct"/>
            <w:tcBorders>
              <w:top w:val="nil"/>
              <w:left w:val="nil"/>
              <w:bottom w:val="single" w:sz="12" w:space="0" w:color="auto"/>
              <w:right w:val="nil"/>
            </w:tcBorders>
            <w:vAlign w:val="bottom"/>
          </w:tcPr>
          <w:p w14:paraId="4AD33772" w14:textId="77777777" w:rsidR="00BB4804" w:rsidRDefault="00BB4804" w:rsidP="00F30547">
            <w:pPr>
              <w:pStyle w:val="NoSpacing"/>
              <w:rPr>
                <w:rFonts w:ascii="Times New Roman" w:hAnsi="Times New Roman" w:cs="Times New Roman"/>
              </w:rPr>
            </w:pPr>
          </w:p>
        </w:tc>
        <w:tc>
          <w:tcPr>
            <w:tcW w:w="312" w:type="pct"/>
            <w:tcBorders>
              <w:top w:val="single" w:sz="12" w:space="0" w:color="auto"/>
              <w:left w:val="nil"/>
              <w:bottom w:val="single" w:sz="12" w:space="0" w:color="auto"/>
              <w:right w:val="nil"/>
            </w:tcBorders>
            <w:vAlign w:val="bottom"/>
          </w:tcPr>
          <w:p w14:paraId="2402DA98" w14:textId="77777777" w:rsidR="00BB4804" w:rsidRDefault="00BB4804" w:rsidP="00F30547">
            <w:pPr>
              <w:pStyle w:val="NoSpacing"/>
              <w:rPr>
                <w:rFonts w:ascii="Times New Roman" w:hAnsi="Times New Roman" w:cs="Times New Roman"/>
              </w:rPr>
            </w:pPr>
            <w:r>
              <w:rPr>
                <w:rFonts w:ascii="Times New Roman" w:hAnsi="Times New Roman" w:cs="Times New Roman"/>
              </w:rPr>
              <w:t>School Type</w:t>
            </w:r>
          </w:p>
        </w:tc>
        <w:tc>
          <w:tcPr>
            <w:tcW w:w="383" w:type="pct"/>
            <w:tcBorders>
              <w:top w:val="single" w:sz="12" w:space="0" w:color="auto"/>
              <w:left w:val="nil"/>
              <w:bottom w:val="single" w:sz="12" w:space="0" w:color="auto"/>
              <w:right w:val="nil"/>
            </w:tcBorders>
            <w:vAlign w:val="bottom"/>
          </w:tcPr>
          <w:p w14:paraId="1C88CC51"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School Locale</w:t>
            </w:r>
          </w:p>
        </w:tc>
        <w:tc>
          <w:tcPr>
            <w:tcW w:w="377" w:type="pct"/>
            <w:tcBorders>
              <w:top w:val="single" w:sz="12" w:space="0" w:color="auto"/>
              <w:left w:val="nil"/>
              <w:bottom w:val="single" w:sz="12" w:space="0" w:color="auto"/>
              <w:right w:val="nil"/>
            </w:tcBorders>
            <w:vAlign w:val="bottom"/>
          </w:tcPr>
          <w:p w14:paraId="471303C3" w14:textId="77777777" w:rsidR="00BB4804" w:rsidRPr="00D23085" w:rsidRDefault="00BB4804" w:rsidP="00F30547">
            <w:pPr>
              <w:pStyle w:val="NoSpacing"/>
              <w:rPr>
                <w:rFonts w:ascii="Times New Roman" w:hAnsi="Times New Roman" w:cs="Times New Roman"/>
                <w:vertAlign w:val="superscript"/>
              </w:rPr>
            </w:pPr>
            <w:r>
              <w:rPr>
                <w:rFonts w:ascii="Times New Roman" w:hAnsi="Times New Roman" w:cs="Times New Roman"/>
              </w:rPr>
              <w:t>School SES</w:t>
            </w:r>
          </w:p>
        </w:tc>
        <w:tc>
          <w:tcPr>
            <w:tcW w:w="452" w:type="pct"/>
            <w:tcBorders>
              <w:top w:val="single" w:sz="12" w:space="0" w:color="auto"/>
              <w:left w:val="nil"/>
              <w:bottom w:val="single" w:sz="12" w:space="0" w:color="auto"/>
              <w:right w:val="nil"/>
            </w:tcBorders>
            <w:vAlign w:val="bottom"/>
          </w:tcPr>
          <w:p w14:paraId="3F841C7E" w14:textId="77777777" w:rsidR="00BB4804" w:rsidRDefault="00BB4804" w:rsidP="00F30547">
            <w:pPr>
              <w:pStyle w:val="NoSpacing"/>
              <w:rPr>
                <w:rFonts w:ascii="Times New Roman" w:hAnsi="Times New Roman" w:cs="Times New Roman"/>
              </w:rPr>
            </w:pPr>
            <w:r>
              <w:rPr>
                <w:rFonts w:ascii="Times New Roman" w:hAnsi="Times New Roman" w:cs="Times New Roman"/>
              </w:rPr>
              <w:t>Special Education Plac</w:t>
            </w:r>
            <w:r w:rsidRPr="008D371A">
              <w:rPr>
                <w:rFonts w:ascii="Times New Roman" w:hAnsi="Times New Roman" w:cs="Times New Roman"/>
              </w:rPr>
              <w:t>e</w:t>
            </w:r>
            <w:r>
              <w:rPr>
                <w:rFonts w:ascii="Times New Roman" w:hAnsi="Times New Roman" w:cs="Times New Roman"/>
              </w:rPr>
              <w:t xml:space="preserve">ment </w:t>
            </w:r>
            <w:r>
              <w:rPr>
                <w:rFonts w:ascii="Times New Roman" w:hAnsi="Times New Roman" w:cs="Times New Roman"/>
                <w:vertAlign w:val="superscript"/>
              </w:rPr>
              <w:t>a</w:t>
            </w:r>
          </w:p>
        </w:tc>
        <w:tc>
          <w:tcPr>
            <w:tcW w:w="312" w:type="pct"/>
            <w:tcBorders>
              <w:top w:val="single" w:sz="12" w:space="0" w:color="auto"/>
              <w:left w:val="nil"/>
              <w:bottom w:val="single" w:sz="12" w:space="0" w:color="auto"/>
              <w:right w:val="nil"/>
            </w:tcBorders>
            <w:vAlign w:val="bottom"/>
          </w:tcPr>
          <w:p w14:paraId="4A45E0A5" w14:textId="77777777" w:rsidR="00BB4804" w:rsidRPr="00D445A3" w:rsidRDefault="00BB4804" w:rsidP="00F30547">
            <w:pPr>
              <w:pStyle w:val="NoSpacing"/>
              <w:rPr>
                <w:rFonts w:ascii="Times New Roman" w:hAnsi="Times New Roman" w:cs="Times New Roman"/>
                <w:vertAlign w:val="superscript"/>
              </w:rPr>
            </w:pPr>
            <w:r>
              <w:rPr>
                <w:rFonts w:ascii="Times New Roman" w:hAnsi="Times New Roman" w:cs="Times New Roman"/>
              </w:rPr>
              <w:t xml:space="preserve">School Level </w:t>
            </w:r>
            <w:r>
              <w:rPr>
                <w:rFonts w:ascii="Times New Roman" w:hAnsi="Times New Roman" w:cs="Times New Roman"/>
                <w:vertAlign w:val="superscript"/>
              </w:rPr>
              <w:t>b</w:t>
            </w:r>
          </w:p>
        </w:tc>
      </w:tr>
      <w:tr w:rsidR="00581152" w:rsidRPr="008D371A" w14:paraId="5D9B79CB" w14:textId="77777777" w:rsidTr="00F30547">
        <w:tc>
          <w:tcPr>
            <w:tcW w:w="939" w:type="pct"/>
            <w:tcBorders>
              <w:top w:val="single" w:sz="12" w:space="0" w:color="auto"/>
              <w:right w:val="nil"/>
            </w:tcBorders>
            <w:vAlign w:val="center"/>
          </w:tcPr>
          <w:p w14:paraId="1244D851" w14:textId="77777777" w:rsidR="00BB4804" w:rsidRPr="008D371A" w:rsidRDefault="00BB4804" w:rsidP="00F30547">
            <w:pPr>
              <w:pStyle w:val="NoSpacing"/>
              <w:rPr>
                <w:rFonts w:ascii="Times New Roman" w:hAnsi="Times New Roman" w:cs="Times New Roman"/>
              </w:rPr>
            </w:pPr>
            <w:r w:rsidRPr="008D371A">
              <w:rPr>
                <w:rFonts w:ascii="Times New Roman" w:hAnsi="Times New Roman" w:cs="Times New Roman"/>
              </w:rPr>
              <w:t>Cain (2018)</w:t>
            </w:r>
          </w:p>
        </w:tc>
        <w:tc>
          <w:tcPr>
            <w:tcW w:w="452" w:type="pct"/>
            <w:tcBorders>
              <w:top w:val="single" w:sz="12" w:space="0" w:color="auto"/>
              <w:left w:val="nil"/>
              <w:right w:val="nil"/>
            </w:tcBorders>
            <w:vAlign w:val="center"/>
          </w:tcPr>
          <w:p w14:paraId="762B46CE"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w:t>
            </w:r>
          </w:p>
        </w:tc>
        <w:tc>
          <w:tcPr>
            <w:tcW w:w="452" w:type="pct"/>
            <w:gridSpan w:val="2"/>
            <w:tcBorders>
              <w:top w:val="single" w:sz="12" w:space="0" w:color="auto"/>
              <w:left w:val="nil"/>
              <w:right w:val="nil"/>
            </w:tcBorders>
            <w:vAlign w:val="center"/>
          </w:tcPr>
          <w:p w14:paraId="7548538E"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top w:val="single" w:sz="12" w:space="0" w:color="auto"/>
              <w:left w:val="nil"/>
              <w:right w:val="nil"/>
            </w:tcBorders>
            <w:vAlign w:val="center"/>
          </w:tcPr>
          <w:p w14:paraId="72BA5F0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top w:val="single" w:sz="12" w:space="0" w:color="auto"/>
              <w:left w:val="nil"/>
              <w:right w:val="nil"/>
            </w:tcBorders>
            <w:vAlign w:val="center"/>
          </w:tcPr>
          <w:p w14:paraId="72DD6849" w14:textId="77777777" w:rsidR="00BB4804" w:rsidRDefault="00BB4804" w:rsidP="00F30547">
            <w:pPr>
              <w:pStyle w:val="NoSpacing"/>
              <w:rPr>
                <w:rFonts w:ascii="Times New Roman" w:hAnsi="Times New Roman" w:cs="Times New Roman"/>
              </w:rPr>
            </w:pPr>
            <w:r w:rsidRPr="00030481">
              <w:rPr>
                <w:rFonts w:ascii="Times New Roman" w:hAnsi="Times New Roman" w:cs="Times New Roman"/>
              </w:rPr>
              <w:t>Often</w:t>
            </w:r>
          </w:p>
        </w:tc>
        <w:tc>
          <w:tcPr>
            <w:tcW w:w="104" w:type="pct"/>
            <w:tcBorders>
              <w:top w:val="single" w:sz="12" w:space="0" w:color="auto"/>
              <w:left w:val="nil"/>
              <w:right w:val="nil"/>
            </w:tcBorders>
            <w:vAlign w:val="center"/>
          </w:tcPr>
          <w:p w14:paraId="32F6AE62" w14:textId="77777777" w:rsidR="00BB4804" w:rsidRDefault="00BB4804" w:rsidP="00F30547">
            <w:pPr>
              <w:pStyle w:val="NoSpacing"/>
              <w:rPr>
                <w:rFonts w:ascii="Times New Roman" w:hAnsi="Times New Roman" w:cs="Times New Roman"/>
              </w:rPr>
            </w:pPr>
          </w:p>
        </w:tc>
        <w:tc>
          <w:tcPr>
            <w:tcW w:w="312" w:type="pct"/>
            <w:tcBorders>
              <w:top w:val="single" w:sz="12" w:space="0" w:color="auto"/>
              <w:left w:val="nil"/>
              <w:right w:val="nil"/>
            </w:tcBorders>
            <w:vAlign w:val="center"/>
          </w:tcPr>
          <w:p w14:paraId="3C8CB4CD" w14:textId="77777777" w:rsidR="00BB4804"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top w:val="single" w:sz="12" w:space="0" w:color="auto"/>
              <w:left w:val="nil"/>
              <w:right w:val="nil"/>
            </w:tcBorders>
            <w:vAlign w:val="center"/>
          </w:tcPr>
          <w:p w14:paraId="7D00F615"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377" w:type="pct"/>
            <w:tcBorders>
              <w:top w:val="single" w:sz="12" w:space="0" w:color="auto"/>
              <w:left w:val="nil"/>
              <w:right w:val="nil"/>
            </w:tcBorders>
            <w:vAlign w:val="center"/>
          </w:tcPr>
          <w:p w14:paraId="28ED8D20"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top w:val="single" w:sz="12" w:space="0" w:color="auto"/>
              <w:left w:val="nil"/>
              <w:right w:val="nil"/>
            </w:tcBorders>
            <w:vAlign w:val="center"/>
          </w:tcPr>
          <w:p w14:paraId="3C4BC417" w14:textId="77777777" w:rsidR="00BB4804" w:rsidRPr="00307ABE" w:rsidRDefault="00BB4804" w:rsidP="00F30547">
            <w:pPr>
              <w:pStyle w:val="NoSpacing"/>
              <w:rPr>
                <w:rFonts w:ascii="Times New Roman" w:hAnsi="Times New Roman" w:cs="Times New Roman"/>
              </w:rPr>
            </w:pPr>
            <w:r>
              <w:rPr>
                <w:rFonts w:ascii="Times New Roman" w:hAnsi="Times New Roman" w:cs="Times New Roman"/>
              </w:rPr>
              <w:t>I</w:t>
            </w:r>
          </w:p>
        </w:tc>
        <w:tc>
          <w:tcPr>
            <w:tcW w:w="312" w:type="pct"/>
            <w:tcBorders>
              <w:top w:val="single" w:sz="12" w:space="0" w:color="auto"/>
              <w:left w:val="nil"/>
              <w:right w:val="nil"/>
            </w:tcBorders>
            <w:vAlign w:val="center"/>
          </w:tcPr>
          <w:p w14:paraId="41AE7A6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w:t>
            </w:r>
          </w:p>
        </w:tc>
      </w:tr>
      <w:tr w:rsidR="00581152" w:rsidRPr="008D371A" w14:paraId="1A27A33C" w14:textId="77777777" w:rsidTr="00F30547">
        <w:tc>
          <w:tcPr>
            <w:tcW w:w="939" w:type="pct"/>
            <w:tcBorders>
              <w:right w:val="nil"/>
            </w:tcBorders>
            <w:vAlign w:val="center"/>
          </w:tcPr>
          <w:p w14:paraId="309C448D" w14:textId="77777777" w:rsidR="00BB4804" w:rsidRPr="008D371A" w:rsidRDefault="00BB4804" w:rsidP="00F30547">
            <w:pPr>
              <w:pStyle w:val="NoSpacing"/>
              <w:rPr>
                <w:rFonts w:ascii="Times New Roman" w:hAnsi="Times New Roman" w:cs="Times New Roman"/>
              </w:rPr>
            </w:pPr>
            <w:r w:rsidRPr="00B07F15">
              <w:rPr>
                <w:rFonts w:ascii="Times New Roman" w:hAnsi="Times New Roman" w:cs="Times New Roman"/>
              </w:rPr>
              <w:t>Ciampa</w:t>
            </w:r>
            <w:r>
              <w:rPr>
                <w:rFonts w:ascii="Times New Roman" w:hAnsi="Times New Roman" w:cs="Times New Roman"/>
              </w:rPr>
              <w:t xml:space="preserve"> (2017)</w:t>
            </w:r>
          </w:p>
        </w:tc>
        <w:tc>
          <w:tcPr>
            <w:tcW w:w="452" w:type="pct"/>
            <w:tcBorders>
              <w:left w:val="nil"/>
              <w:right w:val="nil"/>
            </w:tcBorders>
            <w:vAlign w:val="center"/>
          </w:tcPr>
          <w:p w14:paraId="75FEACF6"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2</w:t>
            </w:r>
          </w:p>
        </w:tc>
        <w:tc>
          <w:tcPr>
            <w:tcW w:w="452" w:type="pct"/>
            <w:gridSpan w:val="2"/>
            <w:tcBorders>
              <w:left w:val="nil"/>
              <w:right w:val="nil"/>
            </w:tcBorders>
            <w:vAlign w:val="center"/>
          </w:tcPr>
          <w:p w14:paraId="463E4E1B"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3-5</w:t>
            </w:r>
          </w:p>
        </w:tc>
        <w:tc>
          <w:tcPr>
            <w:tcW w:w="555" w:type="pct"/>
            <w:tcBorders>
              <w:left w:val="nil"/>
              <w:right w:val="nil"/>
            </w:tcBorders>
            <w:vAlign w:val="center"/>
          </w:tcPr>
          <w:p w14:paraId="5F473B7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5</w:t>
            </w:r>
          </w:p>
        </w:tc>
        <w:tc>
          <w:tcPr>
            <w:tcW w:w="662" w:type="pct"/>
            <w:tcBorders>
              <w:left w:val="nil"/>
              <w:right w:val="nil"/>
            </w:tcBorders>
            <w:vAlign w:val="center"/>
          </w:tcPr>
          <w:p w14:paraId="4AC2613C" w14:textId="77777777" w:rsidR="00BB4804" w:rsidRDefault="00BB4804" w:rsidP="00F30547">
            <w:pPr>
              <w:pStyle w:val="NoSpacing"/>
              <w:rPr>
                <w:rFonts w:ascii="Times New Roman" w:hAnsi="Times New Roman" w:cs="Times New Roman"/>
              </w:rPr>
            </w:pPr>
            <w:r w:rsidRPr="00030481">
              <w:rPr>
                <w:rFonts w:ascii="Times New Roman" w:hAnsi="Times New Roman" w:cs="Times New Roman"/>
              </w:rPr>
              <w:t>Occasionally</w:t>
            </w:r>
          </w:p>
        </w:tc>
        <w:tc>
          <w:tcPr>
            <w:tcW w:w="104" w:type="pct"/>
            <w:tcBorders>
              <w:left w:val="nil"/>
              <w:right w:val="nil"/>
            </w:tcBorders>
            <w:vAlign w:val="center"/>
          </w:tcPr>
          <w:p w14:paraId="1E191C6E"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4647570"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5CFA1C7B"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02238FE0"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29533B26" w14:textId="77777777" w:rsidR="00BB4804" w:rsidRPr="00307ABE"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7910F22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478A6DB3" w14:textId="77777777" w:rsidTr="00F30547">
        <w:tc>
          <w:tcPr>
            <w:tcW w:w="939" w:type="pct"/>
            <w:tcBorders>
              <w:right w:val="nil"/>
            </w:tcBorders>
            <w:vAlign w:val="center"/>
          </w:tcPr>
          <w:p w14:paraId="7DADE413"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13139E59"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3</w:t>
            </w:r>
          </w:p>
        </w:tc>
        <w:tc>
          <w:tcPr>
            <w:tcW w:w="452" w:type="pct"/>
            <w:gridSpan w:val="2"/>
            <w:tcBorders>
              <w:left w:val="nil"/>
              <w:right w:val="nil"/>
            </w:tcBorders>
            <w:vAlign w:val="center"/>
          </w:tcPr>
          <w:p w14:paraId="72AE6FF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2909E99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8</w:t>
            </w:r>
          </w:p>
        </w:tc>
        <w:tc>
          <w:tcPr>
            <w:tcW w:w="662" w:type="pct"/>
            <w:tcBorders>
              <w:left w:val="nil"/>
              <w:right w:val="nil"/>
            </w:tcBorders>
            <w:vAlign w:val="center"/>
          </w:tcPr>
          <w:p w14:paraId="7C53FD2E" w14:textId="77777777" w:rsidR="00BB4804" w:rsidRDefault="00BB4804" w:rsidP="00F30547">
            <w:pPr>
              <w:pStyle w:val="NoSpacing"/>
              <w:rPr>
                <w:rFonts w:ascii="Times New Roman" w:hAnsi="Times New Roman" w:cs="Times New Roman"/>
              </w:rPr>
            </w:pPr>
            <w:r w:rsidRPr="00030481">
              <w:rPr>
                <w:rFonts w:ascii="Times New Roman" w:hAnsi="Times New Roman" w:cs="Times New Roman"/>
              </w:rPr>
              <w:t>Occasionally</w:t>
            </w:r>
          </w:p>
        </w:tc>
        <w:tc>
          <w:tcPr>
            <w:tcW w:w="104" w:type="pct"/>
            <w:tcBorders>
              <w:left w:val="nil"/>
              <w:right w:val="nil"/>
            </w:tcBorders>
            <w:vAlign w:val="center"/>
          </w:tcPr>
          <w:p w14:paraId="3D24C30D"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65B8E6F"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41740174"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1A68A3C6"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3B5F943C" w14:textId="77777777" w:rsidR="00BB4804" w:rsidRPr="00307ABE"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5CC6893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1829DDB3" w14:textId="77777777" w:rsidTr="00F30547">
        <w:tc>
          <w:tcPr>
            <w:tcW w:w="939" w:type="pct"/>
            <w:tcBorders>
              <w:right w:val="nil"/>
            </w:tcBorders>
            <w:vAlign w:val="center"/>
          </w:tcPr>
          <w:p w14:paraId="249F55C1"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0FA98BE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4</w:t>
            </w:r>
          </w:p>
        </w:tc>
        <w:tc>
          <w:tcPr>
            <w:tcW w:w="452" w:type="pct"/>
            <w:gridSpan w:val="2"/>
            <w:tcBorders>
              <w:left w:val="nil"/>
              <w:right w:val="nil"/>
            </w:tcBorders>
            <w:vAlign w:val="center"/>
          </w:tcPr>
          <w:p w14:paraId="7668FEF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11-15</w:t>
            </w:r>
          </w:p>
        </w:tc>
        <w:tc>
          <w:tcPr>
            <w:tcW w:w="555" w:type="pct"/>
            <w:tcBorders>
              <w:left w:val="nil"/>
              <w:right w:val="nil"/>
            </w:tcBorders>
            <w:vAlign w:val="center"/>
          </w:tcPr>
          <w:p w14:paraId="350B73EC"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7</w:t>
            </w:r>
          </w:p>
        </w:tc>
        <w:tc>
          <w:tcPr>
            <w:tcW w:w="662" w:type="pct"/>
            <w:tcBorders>
              <w:left w:val="nil"/>
              <w:right w:val="nil"/>
            </w:tcBorders>
            <w:vAlign w:val="center"/>
          </w:tcPr>
          <w:p w14:paraId="136B052C" w14:textId="77777777" w:rsidR="00BB4804" w:rsidRDefault="00BB4804" w:rsidP="00F30547">
            <w:pPr>
              <w:pStyle w:val="NoSpacing"/>
              <w:rPr>
                <w:rFonts w:ascii="Times New Roman" w:hAnsi="Times New Roman" w:cs="Times New Roman"/>
              </w:rPr>
            </w:pPr>
            <w:r>
              <w:rPr>
                <w:rFonts w:ascii="Times New Roman" w:hAnsi="Times New Roman" w:cs="Times New Roman"/>
              </w:rPr>
              <w:t>Rarely</w:t>
            </w:r>
          </w:p>
        </w:tc>
        <w:tc>
          <w:tcPr>
            <w:tcW w:w="104" w:type="pct"/>
            <w:tcBorders>
              <w:left w:val="nil"/>
              <w:right w:val="nil"/>
            </w:tcBorders>
            <w:vAlign w:val="center"/>
          </w:tcPr>
          <w:p w14:paraId="0BB213B2"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9AA5BAB"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278B9E51"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3245522F"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286E96DD" w14:textId="77777777" w:rsidR="00BB4804" w:rsidRPr="00307ABE"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359E6232"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38553943" w14:textId="77777777" w:rsidTr="00F30547">
        <w:tc>
          <w:tcPr>
            <w:tcW w:w="939" w:type="pct"/>
            <w:tcBorders>
              <w:right w:val="nil"/>
            </w:tcBorders>
            <w:vAlign w:val="center"/>
          </w:tcPr>
          <w:p w14:paraId="192AE516" w14:textId="77777777" w:rsidR="00BB4804" w:rsidRPr="008D371A" w:rsidRDefault="00BB4804" w:rsidP="00F30547">
            <w:pPr>
              <w:pStyle w:val="NoSpacing"/>
              <w:rPr>
                <w:rFonts w:ascii="Times New Roman" w:hAnsi="Times New Roman" w:cs="Times New Roman"/>
              </w:rPr>
            </w:pPr>
            <w:r w:rsidRPr="00435F96">
              <w:rPr>
                <w:rFonts w:ascii="Times New Roman" w:hAnsi="Times New Roman" w:cs="Times New Roman"/>
              </w:rPr>
              <w:t>Courduff</w:t>
            </w:r>
            <w:r>
              <w:rPr>
                <w:rFonts w:ascii="Times New Roman" w:hAnsi="Times New Roman" w:cs="Times New Roman"/>
              </w:rPr>
              <w:t xml:space="preserve"> (2011)</w:t>
            </w:r>
          </w:p>
        </w:tc>
        <w:tc>
          <w:tcPr>
            <w:tcW w:w="452" w:type="pct"/>
            <w:tcBorders>
              <w:left w:val="nil"/>
              <w:right w:val="nil"/>
            </w:tcBorders>
            <w:vAlign w:val="center"/>
          </w:tcPr>
          <w:p w14:paraId="1DA3344B"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5</w:t>
            </w:r>
          </w:p>
        </w:tc>
        <w:tc>
          <w:tcPr>
            <w:tcW w:w="452" w:type="pct"/>
            <w:gridSpan w:val="2"/>
            <w:tcBorders>
              <w:left w:val="nil"/>
              <w:right w:val="nil"/>
            </w:tcBorders>
            <w:vAlign w:val="center"/>
          </w:tcPr>
          <w:p w14:paraId="1919D6AC"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0F4D4B85" w14:textId="77777777" w:rsidR="00BB4804" w:rsidRPr="008D371A" w:rsidRDefault="00BB4804" w:rsidP="00F30547">
            <w:pPr>
              <w:pStyle w:val="NoSpacing"/>
              <w:rPr>
                <w:rFonts w:ascii="Times New Roman" w:hAnsi="Times New Roman" w:cs="Times New Roman"/>
              </w:rPr>
            </w:pPr>
            <w:r w:rsidRPr="0063464C">
              <w:rPr>
                <w:rFonts w:ascii="Times New Roman" w:hAnsi="Times New Roman" w:cs="Times New Roman"/>
              </w:rPr>
              <w:t>K, 1, 2, 3, 4, 5</w:t>
            </w:r>
          </w:p>
        </w:tc>
        <w:tc>
          <w:tcPr>
            <w:tcW w:w="662" w:type="pct"/>
            <w:tcBorders>
              <w:left w:val="nil"/>
              <w:right w:val="nil"/>
            </w:tcBorders>
            <w:vAlign w:val="center"/>
          </w:tcPr>
          <w:p w14:paraId="2356E849"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581A107C"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7AF74853"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7B9E8BD7"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0C67A255"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7ECB47A7"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5788DB63"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2BEE5424" w14:textId="77777777" w:rsidTr="00F30547">
        <w:tc>
          <w:tcPr>
            <w:tcW w:w="939" w:type="pct"/>
            <w:tcBorders>
              <w:right w:val="nil"/>
            </w:tcBorders>
            <w:vAlign w:val="center"/>
          </w:tcPr>
          <w:p w14:paraId="38828014"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017856B6"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w:t>
            </w:r>
          </w:p>
        </w:tc>
        <w:tc>
          <w:tcPr>
            <w:tcW w:w="452" w:type="pct"/>
            <w:gridSpan w:val="2"/>
            <w:tcBorders>
              <w:left w:val="nil"/>
              <w:right w:val="nil"/>
            </w:tcBorders>
            <w:vAlign w:val="center"/>
          </w:tcPr>
          <w:p w14:paraId="00A336A0"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10733594" w14:textId="77777777" w:rsidR="00BB4804" w:rsidRPr="008D371A" w:rsidRDefault="00BB4804" w:rsidP="00F30547">
            <w:pPr>
              <w:pStyle w:val="NoSpacing"/>
              <w:rPr>
                <w:rFonts w:ascii="Times New Roman" w:hAnsi="Times New Roman" w:cs="Times New Roman"/>
              </w:rPr>
            </w:pPr>
            <w:r w:rsidRPr="00835D24">
              <w:rPr>
                <w:rFonts w:ascii="Times New Roman" w:hAnsi="Times New Roman" w:cs="Times New Roman"/>
              </w:rPr>
              <w:t>K, 1, 2, 3, 4, 5</w:t>
            </w:r>
          </w:p>
        </w:tc>
        <w:tc>
          <w:tcPr>
            <w:tcW w:w="662" w:type="pct"/>
            <w:tcBorders>
              <w:left w:val="nil"/>
              <w:right w:val="nil"/>
            </w:tcBorders>
            <w:vAlign w:val="center"/>
          </w:tcPr>
          <w:p w14:paraId="2EDB1624"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25ED2415"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158DEFEB"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0139C1A3"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1FC628FA"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101EB4BC"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05085695"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39B7EDEB" w14:textId="77777777" w:rsidTr="00F30547">
        <w:tc>
          <w:tcPr>
            <w:tcW w:w="939" w:type="pct"/>
            <w:tcBorders>
              <w:right w:val="nil"/>
            </w:tcBorders>
            <w:vAlign w:val="center"/>
          </w:tcPr>
          <w:p w14:paraId="711EC3E3"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444DE15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7</w:t>
            </w:r>
          </w:p>
        </w:tc>
        <w:tc>
          <w:tcPr>
            <w:tcW w:w="452" w:type="pct"/>
            <w:gridSpan w:val="2"/>
            <w:tcBorders>
              <w:left w:val="nil"/>
              <w:right w:val="nil"/>
            </w:tcBorders>
            <w:vAlign w:val="center"/>
          </w:tcPr>
          <w:p w14:paraId="7ACB7709"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6AA294B2" w14:textId="77777777" w:rsidR="00BB4804" w:rsidRPr="008D371A" w:rsidRDefault="00BB4804" w:rsidP="00F30547">
            <w:pPr>
              <w:pStyle w:val="NoSpacing"/>
              <w:rPr>
                <w:rFonts w:ascii="Times New Roman" w:hAnsi="Times New Roman" w:cs="Times New Roman"/>
              </w:rPr>
            </w:pPr>
            <w:r w:rsidRPr="00835D24">
              <w:rPr>
                <w:rFonts w:ascii="Times New Roman" w:hAnsi="Times New Roman" w:cs="Times New Roman"/>
              </w:rPr>
              <w:t>K, 1, 2, 3, 4, 5</w:t>
            </w:r>
          </w:p>
        </w:tc>
        <w:tc>
          <w:tcPr>
            <w:tcW w:w="662" w:type="pct"/>
            <w:tcBorders>
              <w:left w:val="nil"/>
              <w:right w:val="nil"/>
            </w:tcBorders>
            <w:vAlign w:val="center"/>
          </w:tcPr>
          <w:p w14:paraId="7A2F573D"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0532B28E"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04F89A93"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504EBA97"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77590DBE"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2E711887"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43C6B91A"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2EE3CE8F" w14:textId="77777777" w:rsidTr="00F30547">
        <w:tc>
          <w:tcPr>
            <w:tcW w:w="939" w:type="pct"/>
            <w:tcBorders>
              <w:right w:val="nil"/>
            </w:tcBorders>
            <w:vAlign w:val="center"/>
          </w:tcPr>
          <w:p w14:paraId="602F112F"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08B3167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8</w:t>
            </w:r>
          </w:p>
        </w:tc>
        <w:tc>
          <w:tcPr>
            <w:tcW w:w="452" w:type="pct"/>
            <w:gridSpan w:val="2"/>
            <w:tcBorders>
              <w:left w:val="nil"/>
              <w:right w:val="nil"/>
            </w:tcBorders>
            <w:vAlign w:val="center"/>
          </w:tcPr>
          <w:p w14:paraId="597267CA"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15049AE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4, 5</w:t>
            </w:r>
          </w:p>
        </w:tc>
        <w:tc>
          <w:tcPr>
            <w:tcW w:w="662" w:type="pct"/>
            <w:tcBorders>
              <w:left w:val="nil"/>
              <w:right w:val="nil"/>
            </w:tcBorders>
            <w:vAlign w:val="center"/>
          </w:tcPr>
          <w:p w14:paraId="6CB88189"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7D4E663E"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3B553EE"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1E61B199"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24E6EFC8"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4A89A425"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1D6B0D2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3374504B" w14:textId="77777777" w:rsidTr="00F30547">
        <w:tc>
          <w:tcPr>
            <w:tcW w:w="939" w:type="pct"/>
            <w:tcBorders>
              <w:right w:val="nil"/>
            </w:tcBorders>
            <w:vAlign w:val="center"/>
          </w:tcPr>
          <w:p w14:paraId="74780B6E"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3C5B5FB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9</w:t>
            </w:r>
          </w:p>
        </w:tc>
        <w:tc>
          <w:tcPr>
            <w:tcW w:w="452" w:type="pct"/>
            <w:gridSpan w:val="2"/>
            <w:tcBorders>
              <w:left w:val="nil"/>
              <w:right w:val="nil"/>
            </w:tcBorders>
            <w:vAlign w:val="center"/>
          </w:tcPr>
          <w:p w14:paraId="1874BB5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5143BEBD" w14:textId="77777777" w:rsidR="00BB4804" w:rsidRPr="008D371A" w:rsidRDefault="00BB4804" w:rsidP="00F30547">
            <w:pPr>
              <w:pStyle w:val="NoSpacing"/>
              <w:rPr>
                <w:rFonts w:ascii="Times New Roman" w:hAnsi="Times New Roman" w:cs="Times New Roman"/>
              </w:rPr>
            </w:pPr>
            <w:r w:rsidRPr="00835D24">
              <w:rPr>
                <w:rFonts w:ascii="Times New Roman" w:hAnsi="Times New Roman" w:cs="Times New Roman"/>
              </w:rPr>
              <w:t>K, 1, 2, 3, 4, 5</w:t>
            </w:r>
          </w:p>
        </w:tc>
        <w:tc>
          <w:tcPr>
            <w:tcW w:w="662" w:type="pct"/>
            <w:tcBorders>
              <w:left w:val="nil"/>
              <w:right w:val="nil"/>
            </w:tcBorders>
            <w:vAlign w:val="center"/>
          </w:tcPr>
          <w:p w14:paraId="2EF9331A"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292A2924"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1790280"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2A61B9B9"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021EC427"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7157CCC1"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5056F7FC"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03CB1E23" w14:textId="77777777" w:rsidTr="00F30547">
        <w:tc>
          <w:tcPr>
            <w:tcW w:w="939" w:type="pct"/>
            <w:tcBorders>
              <w:right w:val="nil"/>
            </w:tcBorders>
            <w:vAlign w:val="center"/>
          </w:tcPr>
          <w:p w14:paraId="10392D9B"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7C975D69"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10</w:t>
            </w:r>
          </w:p>
        </w:tc>
        <w:tc>
          <w:tcPr>
            <w:tcW w:w="452" w:type="pct"/>
            <w:gridSpan w:val="2"/>
            <w:tcBorders>
              <w:left w:val="nil"/>
              <w:right w:val="nil"/>
            </w:tcBorders>
            <w:vAlign w:val="center"/>
          </w:tcPr>
          <w:p w14:paraId="55E777A2"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2BE570AC" w14:textId="77777777" w:rsidR="00BB4804" w:rsidRPr="008D371A" w:rsidRDefault="00BB4804" w:rsidP="00F30547">
            <w:pPr>
              <w:pStyle w:val="NoSpacing"/>
              <w:rPr>
                <w:rFonts w:ascii="Times New Roman" w:hAnsi="Times New Roman" w:cs="Times New Roman"/>
              </w:rPr>
            </w:pPr>
            <w:r w:rsidRPr="00835D24">
              <w:rPr>
                <w:rFonts w:ascii="Times New Roman" w:hAnsi="Times New Roman" w:cs="Times New Roman"/>
              </w:rPr>
              <w:t>K, 1, 2, 3, 4, 5</w:t>
            </w:r>
          </w:p>
        </w:tc>
        <w:tc>
          <w:tcPr>
            <w:tcW w:w="662" w:type="pct"/>
            <w:tcBorders>
              <w:left w:val="nil"/>
              <w:right w:val="nil"/>
            </w:tcBorders>
            <w:vAlign w:val="center"/>
          </w:tcPr>
          <w:p w14:paraId="1C2042C4"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1CAE093C"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BA506D5"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6503F085"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632F01AB"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1D5FF7C8"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05B17466"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5589D6DA" w14:textId="77777777" w:rsidTr="00F30547">
        <w:tc>
          <w:tcPr>
            <w:tcW w:w="939" w:type="pct"/>
            <w:tcBorders>
              <w:right w:val="nil"/>
            </w:tcBorders>
            <w:vAlign w:val="center"/>
          </w:tcPr>
          <w:p w14:paraId="224FD738"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6C00432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11</w:t>
            </w:r>
          </w:p>
        </w:tc>
        <w:tc>
          <w:tcPr>
            <w:tcW w:w="452" w:type="pct"/>
            <w:gridSpan w:val="2"/>
            <w:tcBorders>
              <w:left w:val="nil"/>
              <w:right w:val="nil"/>
            </w:tcBorders>
            <w:vAlign w:val="center"/>
          </w:tcPr>
          <w:p w14:paraId="611D17C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3425A9EC"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2, 4, 5</w:t>
            </w:r>
          </w:p>
        </w:tc>
        <w:tc>
          <w:tcPr>
            <w:tcW w:w="662" w:type="pct"/>
            <w:tcBorders>
              <w:left w:val="nil"/>
              <w:right w:val="nil"/>
            </w:tcBorders>
            <w:vAlign w:val="center"/>
          </w:tcPr>
          <w:p w14:paraId="23F495E8"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7927B095"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02AE3307"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6FE8406C"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3BFC67DF"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5D29B159"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23858D4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7F896633" w14:textId="77777777" w:rsidTr="00F30547">
        <w:tc>
          <w:tcPr>
            <w:tcW w:w="939" w:type="pct"/>
            <w:tcBorders>
              <w:right w:val="nil"/>
            </w:tcBorders>
            <w:vAlign w:val="center"/>
          </w:tcPr>
          <w:p w14:paraId="24043EEA"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51EE690E"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12</w:t>
            </w:r>
          </w:p>
        </w:tc>
        <w:tc>
          <w:tcPr>
            <w:tcW w:w="452" w:type="pct"/>
            <w:gridSpan w:val="2"/>
            <w:tcBorders>
              <w:left w:val="nil"/>
              <w:right w:val="nil"/>
            </w:tcBorders>
            <w:vAlign w:val="center"/>
          </w:tcPr>
          <w:p w14:paraId="424113F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55A7579F" w14:textId="77777777" w:rsidR="00BB4804" w:rsidRPr="008D371A" w:rsidRDefault="00BB4804" w:rsidP="00F30547">
            <w:pPr>
              <w:pStyle w:val="NoSpacing"/>
              <w:rPr>
                <w:rFonts w:ascii="Times New Roman" w:hAnsi="Times New Roman" w:cs="Times New Roman"/>
              </w:rPr>
            </w:pPr>
            <w:r w:rsidRPr="00D525E4">
              <w:rPr>
                <w:rFonts w:ascii="Times New Roman" w:hAnsi="Times New Roman" w:cs="Times New Roman"/>
              </w:rPr>
              <w:t>K, 1, 2, 3, 4, 5</w:t>
            </w:r>
          </w:p>
        </w:tc>
        <w:tc>
          <w:tcPr>
            <w:tcW w:w="662" w:type="pct"/>
            <w:tcBorders>
              <w:left w:val="nil"/>
              <w:right w:val="nil"/>
            </w:tcBorders>
            <w:vAlign w:val="center"/>
          </w:tcPr>
          <w:p w14:paraId="0FD962C1"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21AE407C"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34EC9BA1"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741B4D5F"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56742634"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40EA79EC"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7E543530"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2BD49D60" w14:textId="77777777" w:rsidTr="00F30547">
        <w:tc>
          <w:tcPr>
            <w:tcW w:w="939" w:type="pct"/>
            <w:tcBorders>
              <w:right w:val="nil"/>
            </w:tcBorders>
            <w:vAlign w:val="center"/>
          </w:tcPr>
          <w:p w14:paraId="5522A4CB"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2D18D9B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13</w:t>
            </w:r>
          </w:p>
        </w:tc>
        <w:tc>
          <w:tcPr>
            <w:tcW w:w="452" w:type="pct"/>
            <w:gridSpan w:val="2"/>
            <w:tcBorders>
              <w:left w:val="nil"/>
              <w:right w:val="nil"/>
            </w:tcBorders>
            <w:vAlign w:val="center"/>
          </w:tcPr>
          <w:p w14:paraId="2D65E0E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3871F56E"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K, 2, 4</w:t>
            </w:r>
          </w:p>
        </w:tc>
        <w:tc>
          <w:tcPr>
            <w:tcW w:w="662" w:type="pct"/>
            <w:tcBorders>
              <w:left w:val="nil"/>
              <w:right w:val="nil"/>
            </w:tcBorders>
            <w:vAlign w:val="center"/>
          </w:tcPr>
          <w:p w14:paraId="06E14BF0"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0C2AFAE6"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67E812AF"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4D21A834"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1F3EAA8F"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4221F75B"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2C1B3BD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722FCD30" w14:textId="77777777" w:rsidTr="00F30547">
        <w:tc>
          <w:tcPr>
            <w:tcW w:w="939" w:type="pct"/>
            <w:tcBorders>
              <w:right w:val="nil"/>
            </w:tcBorders>
            <w:vAlign w:val="center"/>
          </w:tcPr>
          <w:p w14:paraId="16A62AAB"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7FBF9DD6" w14:textId="77777777" w:rsidR="00BB4804" w:rsidRDefault="00BB4804" w:rsidP="00F30547">
            <w:pPr>
              <w:pStyle w:val="NoSpacing"/>
              <w:rPr>
                <w:rFonts w:ascii="Times New Roman" w:hAnsi="Times New Roman" w:cs="Times New Roman"/>
              </w:rPr>
            </w:pPr>
            <w:r>
              <w:rPr>
                <w:rFonts w:ascii="Times New Roman" w:hAnsi="Times New Roman" w:cs="Times New Roman"/>
              </w:rPr>
              <w:t>14</w:t>
            </w:r>
          </w:p>
        </w:tc>
        <w:tc>
          <w:tcPr>
            <w:tcW w:w="452" w:type="pct"/>
            <w:gridSpan w:val="2"/>
            <w:tcBorders>
              <w:left w:val="nil"/>
              <w:right w:val="nil"/>
            </w:tcBorders>
            <w:vAlign w:val="center"/>
          </w:tcPr>
          <w:p w14:paraId="75171206"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555" w:type="pct"/>
            <w:tcBorders>
              <w:left w:val="nil"/>
              <w:right w:val="nil"/>
            </w:tcBorders>
            <w:vAlign w:val="center"/>
          </w:tcPr>
          <w:p w14:paraId="111B76FB"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2, 3, 4, 5</w:t>
            </w:r>
          </w:p>
        </w:tc>
        <w:tc>
          <w:tcPr>
            <w:tcW w:w="662" w:type="pct"/>
            <w:tcBorders>
              <w:left w:val="nil"/>
              <w:right w:val="nil"/>
            </w:tcBorders>
            <w:vAlign w:val="center"/>
          </w:tcPr>
          <w:p w14:paraId="65B025F7"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31AD6A12"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64CAF93F" w14:textId="77777777" w:rsidR="00BB4804" w:rsidRPr="007A7FD0"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59C8D561" w14:textId="77777777" w:rsidR="00BB4804" w:rsidRPr="008D371A" w:rsidRDefault="00BB4804" w:rsidP="00F30547">
            <w:pPr>
              <w:pStyle w:val="NoSpacing"/>
              <w:rPr>
                <w:rFonts w:ascii="Times New Roman" w:hAnsi="Times New Roman" w:cs="Times New Roman"/>
              </w:rPr>
            </w:pPr>
            <w:r w:rsidRPr="007A7FD0">
              <w:rPr>
                <w:rFonts w:ascii="Times New Roman" w:hAnsi="Times New Roman" w:cs="Times New Roman"/>
              </w:rPr>
              <w:t>Suburban</w:t>
            </w:r>
          </w:p>
        </w:tc>
        <w:tc>
          <w:tcPr>
            <w:tcW w:w="377" w:type="pct"/>
            <w:tcBorders>
              <w:left w:val="nil"/>
              <w:right w:val="nil"/>
            </w:tcBorders>
            <w:vAlign w:val="center"/>
          </w:tcPr>
          <w:p w14:paraId="08AECEDF"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3542F251"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6456D4D5"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M</w:t>
            </w:r>
          </w:p>
        </w:tc>
      </w:tr>
      <w:tr w:rsidR="00581152" w:rsidRPr="008D371A" w14:paraId="366376E1" w14:textId="77777777" w:rsidTr="00F30547">
        <w:tc>
          <w:tcPr>
            <w:tcW w:w="939" w:type="pct"/>
            <w:tcBorders>
              <w:right w:val="nil"/>
            </w:tcBorders>
            <w:vAlign w:val="center"/>
          </w:tcPr>
          <w:p w14:paraId="2EDF942A" w14:textId="77777777" w:rsidR="00BB4804" w:rsidRPr="008D371A" w:rsidRDefault="00BB4804" w:rsidP="00F30547">
            <w:pPr>
              <w:pStyle w:val="NoSpacing"/>
              <w:rPr>
                <w:rFonts w:ascii="Times New Roman" w:hAnsi="Times New Roman" w:cs="Times New Roman"/>
              </w:rPr>
            </w:pPr>
            <w:r w:rsidRPr="00435F96">
              <w:rPr>
                <w:rFonts w:ascii="Times New Roman" w:hAnsi="Times New Roman" w:cs="Times New Roman"/>
              </w:rPr>
              <w:t>Du &amp; Lyublinskaya</w:t>
            </w:r>
            <w:r>
              <w:rPr>
                <w:rFonts w:ascii="Times New Roman" w:hAnsi="Times New Roman" w:cs="Times New Roman"/>
              </w:rPr>
              <w:t xml:space="preserve"> (2022)</w:t>
            </w:r>
          </w:p>
        </w:tc>
        <w:tc>
          <w:tcPr>
            <w:tcW w:w="452" w:type="pct"/>
            <w:tcBorders>
              <w:left w:val="nil"/>
              <w:right w:val="nil"/>
            </w:tcBorders>
            <w:vAlign w:val="center"/>
          </w:tcPr>
          <w:p w14:paraId="5243CE1F" w14:textId="77777777" w:rsidR="00BB4804" w:rsidRDefault="00BB4804" w:rsidP="00F30547">
            <w:pPr>
              <w:pStyle w:val="NoSpacing"/>
              <w:rPr>
                <w:rFonts w:ascii="Times New Roman" w:hAnsi="Times New Roman" w:cs="Times New Roman"/>
              </w:rPr>
            </w:pPr>
            <w:r>
              <w:rPr>
                <w:rFonts w:ascii="Times New Roman" w:hAnsi="Times New Roman" w:cs="Times New Roman"/>
              </w:rPr>
              <w:t>15</w:t>
            </w:r>
          </w:p>
        </w:tc>
        <w:tc>
          <w:tcPr>
            <w:tcW w:w="452" w:type="pct"/>
            <w:gridSpan w:val="2"/>
            <w:tcBorders>
              <w:left w:val="nil"/>
              <w:right w:val="nil"/>
            </w:tcBorders>
            <w:vAlign w:val="center"/>
          </w:tcPr>
          <w:p w14:paraId="0E476451"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63E01DD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5</w:t>
            </w:r>
          </w:p>
        </w:tc>
        <w:tc>
          <w:tcPr>
            <w:tcW w:w="662" w:type="pct"/>
            <w:tcBorders>
              <w:left w:val="nil"/>
              <w:right w:val="nil"/>
            </w:tcBorders>
            <w:vAlign w:val="center"/>
          </w:tcPr>
          <w:p w14:paraId="27E68818"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51FFCE45"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D9906D4"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Private</w:t>
            </w:r>
          </w:p>
        </w:tc>
        <w:tc>
          <w:tcPr>
            <w:tcW w:w="383" w:type="pct"/>
            <w:tcBorders>
              <w:left w:val="nil"/>
              <w:right w:val="nil"/>
            </w:tcBorders>
            <w:vAlign w:val="center"/>
          </w:tcPr>
          <w:p w14:paraId="52A7E415"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0DE5D725"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457B4DEE"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C</w:t>
            </w:r>
          </w:p>
        </w:tc>
        <w:tc>
          <w:tcPr>
            <w:tcW w:w="312" w:type="pct"/>
            <w:tcBorders>
              <w:left w:val="nil"/>
              <w:right w:val="nil"/>
            </w:tcBorders>
            <w:vAlign w:val="center"/>
          </w:tcPr>
          <w:p w14:paraId="266972B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w:t>
            </w:r>
          </w:p>
        </w:tc>
      </w:tr>
      <w:tr w:rsidR="00581152" w:rsidRPr="008D371A" w14:paraId="501DDAA2" w14:textId="77777777" w:rsidTr="00F30547">
        <w:tc>
          <w:tcPr>
            <w:tcW w:w="939" w:type="pct"/>
            <w:tcBorders>
              <w:right w:val="nil"/>
            </w:tcBorders>
            <w:vAlign w:val="center"/>
          </w:tcPr>
          <w:p w14:paraId="20D474C0"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118FA984" w14:textId="77777777" w:rsidR="00BB4804" w:rsidRDefault="00BB4804" w:rsidP="00F30547">
            <w:pPr>
              <w:pStyle w:val="NoSpacing"/>
              <w:rPr>
                <w:rFonts w:ascii="Times New Roman" w:hAnsi="Times New Roman" w:cs="Times New Roman"/>
              </w:rPr>
            </w:pPr>
            <w:r>
              <w:rPr>
                <w:rFonts w:ascii="Times New Roman" w:hAnsi="Times New Roman" w:cs="Times New Roman"/>
              </w:rPr>
              <w:t>16</w:t>
            </w:r>
          </w:p>
        </w:tc>
        <w:tc>
          <w:tcPr>
            <w:tcW w:w="452" w:type="pct"/>
            <w:gridSpan w:val="2"/>
            <w:tcBorders>
              <w:left w:val="nil"/>
              <w:right w:val="nil"/>
            </w:tcBorders>
            <w:vAlign w:val="center"/>
          </w:tcPr>
          <w:p w14:paraId="4F66F68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11-15</w:t>
            </w:r>
          </w:p>
        </w:tc>
        <w:tc>
          <w:tcPr>
            <w:tcW w:w="555" w:type="pct"/>
            <w:tcBorders>
              <w:left w:val="nil"/>
              <w:right w:val="nil"/>
            </w:tcBorders>
            <w:vAlign w:val="center"/>
          </w:tcPr>
          <w:p w14:paraId="3C0CA77B" w14:textId="77777777" w:rsidR="00BB4804" w:rsidRPr="008D371A" w:rsidRDefault="00BB4804" w:rsidP="00F30547">
            <w:pPr>
              <w:pStyle w:val="NoSpacing"/>
              <w:rPr>
                <w:rFonts w:ascii="Times New Roman" w:hAnsi="Times New Roman" w:cs="Times New Roman"/>
              </w:rPr>
            </w:pPr>
            <w:r w:rsidRPr="00D525E4">
              <w:rPr>
                <w:rFonts w:ascii="Times New Roman" w:hAnsi="Times New Roman" w:cs="Times New Roman"/>
              </w:rPr>
              <w:t>9, 10, 11, 12</w:t>
            </w:r>
          </w:p>
        </w:tc>
        <w:tc>
          <w:tcPr>
            <w:tcW w:w="662" w:type="pct"/>
            <w:tcBorders>
              <w:left w:val="nil"/>
              <w:right w:val="nil"/>
            </w:tcBorders>
            <w:vAlign w:val="center"/>
          </w:tcPr>
          <w:p w14:paraId="4C81FEFC" w14:textId="77777777" w:rsidR="00BB4804" w:rsidRDefault="00BB4804" w:rsidP="00F30547">
            <w:pPr>
              <w:pStyle w:val="NoSpacing"/>
              <w:rPr>
                <w:rFonts w:ascii="Times New Roman" w:hAnsi="Times New Roman" w:cs="Times New Roman"/>
              </w:rPr>
            </w:pPr>
            <w:r w:rsidRPr="00B009B6">
              <w:rPr>
                <w:rFonts w:ascii="Times New Roman" w:hAnsi="Times New Roman" w:cs="Times New Roman"/>
              </w:rPr>
              <w:t>Occasionally</w:t>
            </w:r>
          </w:p>
        </w:tc>
        <w:tc>
          <w:tcPr>
            <w:tcW w:w="104" w:type="pct"/>
            <w:tcBorders>
              <w:left w:val="nil"/>
              <w:right w:val="nil"/>
            </w:tcBorders>
            <w:vAlign w:val="center"/>
          </w:tcPr>
          <w:p w14:paraId="321FF991"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0FB5F85C"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Private</w:t>
            </w:r>
          </w:p>
        </w:tc>
        <w:tc>
          <w:tcPr>
            <w:tcW w:w="383" w:type="pct"/>
            <w:tcBorders>
              <w:left w:val="nil"/>
              <w:right w:val="nil"/>
            </w:tcBorders>
            <w:vAlign w:val="center"/>
          </w:tcPr>
          <w:p w14:paraId="53059C3D"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1947C08E"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70B2CCBE"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C</w:t>
            </w:r>
          </w:p>
        </w:tc>
        <w:tc>
          <w:tcPr>
            <w:tcW w:w="312" w:type="pct"/>
            <w:tcBorders>
              <w:left w:val="nil"/>
              <w:right w:val="nil"/>
            </w:tcBorders>
            <w:vAlign w:val="center"/>
          </w:tcPr>
          <w:p w14:paraId="166587F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H</w:t>
            </w:r>
          </w:p>
        </w:tc>
      </w:tr>
      <w:tr w:rsidR="00581152" w:rsidRPr="008D371A" w14:paraId="2E4E4B1F" w14:textId="77777777" w:rsidTr="00F30547">
        <w:tc>
          <w:tcPr>
            <w:tcW w:w="939" w:type="pct"/>
            <w:tcBorders>
              <w:right w:val="nil"/>
            </w:tcBorders>
            <w:vAlign w:val="center"/>
          </w:tcPr>
          <w:p w14:paraId="245952C4"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11C901D9" w14:textId="77777777" w:rsidR="00BB4804" w:rsidRDefault="00BB4804" w:rsidP="00F30547">
            <w:pPr>
              <w:pStyle w:val="NoSpacing"/>
              <w:rPr>
                <w:rFonts w:ascii="Times New Roman" w:hAnsi="Times New Roman" w:cs="Times New Roman"/>
              </w:rPr>
            </w:pPr>
            <w:r>
              <w:rPr>
                <w:rFonts w:ascii="Times New Roman" w:hAnsi="Times New Roman" w:cs="Times New Roman"/>
              </w:rPr>
              <w:t>17</w:t>
            </w:r>
          </w:p>
        </w:tc>
        <w:tc>
          <w:tcPr>
            <w:tcW w:w="452" w:type="pct"/>
            <w:gridSpan w:val="2"/>
            <w:tcBorders>
              <w:left w:val="nil"/>
              <w:right w:val="nil"/>
            </w:tcBorders>
            <w:vAlign w:val="center"/>
          </w:tcPr>
          <w:p w14:paraId="675890BC"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11-15</w:t>
            </w:r>
          </w:p>
        </w:tc>
        <w:tc>
          <w:tcPr>
            <w:tcW w:w="555" w:type="pct"/>
            <w:tcBorders>
              <w:left w:val="nil"/>
              <w:right w:val="nil"/>
            </w:tcBorders>
            <w:vAlign w:val="center"/>
          </w:tcPr>
          <w:p w14:paraId="4BB57142" w14:textId="77777777" w:rsidR="00BB4804" w:rsidRPr="008D371A" w:rsidRDefault="00BB4804" w:rsidP="00F30547">
            <w:pPr>
              <w:pStyle w:val="NoSpacing"/>
              <w:rPr>
                <w:rFonts w:ascii="Times New Roman" w:hAnsi="Times New Roman" w:cs="Times New Roman"/>
              </w:rPr>
            </w:pPr>
            <w:r w:rsidRPr="00D525E4">
              <w:rPr>
                <w:rFonts w:ascii="Times New Roman" w:hAnsi="Times New Roman" w:cs="Times New Roman"/>
              </w:rPr>
              <w:t>9, 10, 11, 12</w:t>
            </w:r>
          </w:p>
        </w:tc>
        <w:tc>
          <w:tcPr>
            <w:tcW w:w="662" w:type="pct"/>
            <w:tcBorders>
              <w:left w:val="nil"/>
              <w:right w:val="nil"/>
            </w:tcBorders>
            <w:vAlign w:val="center"/>
          </w:tcPr>
          <w:p w14:paraId="0AC6DF93" w14:textId="77777777" w:rsidR="00BB4804" w:rsidRDefault="00BB4804" w:rsidP="00F30547">
            <w:pPr>
              <w:pStyle w:val="NoSpacing"/>
              <w:rPr>
                <w:rFonts w:ascii="Times New Roman" w:hAnsi="Times New Roman" w:cs="Times New Roman"/>
              </w:rPr>
            </w:pPr>
            <w:r>
              <w:rPr>
                <w:rFonts w:ascii="Times New Roman" w:hAnsi="Times New Roman" w:cs="Times New Roman"/>
              </w:rPr>
              <w:t>Rarely</w:t>
            </w:r>
          </w:p>
        </w:tc>
        <w:tc>
          <w:tcPr>
            <w:tcW w:w="104" w:type="pct"/>
            <w:tcBorders>
              <w:left w:val="nil"/>
              <w:right w:val="nil"/>
            </w:tcBorders>
            <w:vAlign w:val="center"/>
          </w:tcPr>
          <w:p w14:paraId="0A7BC1C7"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8C5ABAF"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Private</w:t>
            </w:r>
          </w:p>
        </w:tc>
        <w:tc>
          <w:tcPr>
            <w:tcW w:w="383" w:type="pct"/>
            <w:tcBorders>
              <w:left w:val="nil"/>
              <w:right w:val="nil"/>
            </w:tcBorders>
            <w:vAlign w:val="center"/>
          </w:tcPr>
          <w:p w14:paraId="625841D9"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6EE30389"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160B9994" w14:textId="77777777" w:rsidR="00BB4804" w:rsidRPr="00132ECC" w:rsidRDefault="00BB4804" w:rsidP="00F30547">
            <w:pPr>
              <w:pStyle w:val="NoSpacing"/>
              <w:rPr>
                <w:rFonts w:ascii="Times New Roman" w:hAnsi="Times New Roman" w:cs="Times New Roman"/>
              </w:rPr>
            </w:pPr>
            <w:r>
              <w:rPr>
                <w:rFonts w:ascii="Times New Roman" w:hAnsi="Times New Roman" w:cs="Times New Roman"/>
              </w:rPr>
              <w:t>C</w:t>
            </w:r>
          </w:p>
        </w:tc>
        <w:tc>
          <w:tcPr>
            <w:tcW w:w="312" w:type="pct"/>
            <w:tcBorders>
              <w:left w:val="nil"/>
              <w:right w:val="nil"/>
            </w:tcBorders>
            <w:vAlign w:val="center"/>
          </w:tcPr>
          <w:p w14:paraId="560F918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H</w:t>
            </w:r>
          </w:p>
        </w:tc>
      </w:tr>
      <w:tr w:rsidR="00581152" w:rsidRPr="008D371A" w14:paraId="0B818924" w14:textId="77777777" w:rsidTr="00F30547">
        <w:tc>
          <w:tcPr>
            <w:tcW w:w="939" w:type="pct"/>
            <w:tcBorders>
              <w:right w:val="nil"/>
            </w:tcBorders>
            <w:vAlign w:val="center"/>
          </w:tcPr>
          <w:p w14:paraId="0CA4B9C2" w14:textId="14055943" w:rsidR="00BB4804" w:rsidRPr="008D371A" w:rsidRDefault="00E0396B" w:rsidP="00F30547">
            <w:pPr>
              <w:pStyle w:val="NoSpacing"/>
              <w:rPr>
                <w:rFonts w:ascii="Times New Roman" w:hAnsi="Times New Roman" w:cs="Times New Roman"/>
              </w:rPr>
            </w:pPr>
            <w:r w:rsidRPr="003E2A61">
              <w:rPr>
                <w:rFonts w:eastAsia="Aptos"/>
                <w:kern w:val="2"/>
                <w14:ligatures w14:val="standardContextual"/>
              </w:rPr>
              <w:t>Gersten &amp; Kelly</w:t>
            </w:r>
            <w:r>
              <w:rPr>
                <w:rFonts w:ascii="Times New Roman" w:hAnsi="Times New Roman" w:cs="Times New Roman"/>
              </w:rPr>
              <w:t xml:space="preserve"> </w:t>
            </w:r>
            <w:r w:rsidR="00BB4804">
              <w:rPr>
                <w:rFonts w:ascii="Times New Roman" w:hAnsi="Times New Roman" w:cs="Times New Roman"/>
              </w:rPr>
              <w:t>(1992)</w:t>
            </w:r>
          </w:p>
        </w:tc>
        <w:tc>
          <w:tcPr>
            <w:tcW w:w="452" w:type="pct"/>
            <w:tcBorders>
              <w:left w:val="nil"/>
              <w:right w:val="nil"/>
            </w:tcBorders>
            <w:vAlign w:val="center"/>
          </w:tcPr>
          <w:p w14:paraId="2677049F" w14:textId="77777777" w:rsidR="00BB4804" w:rsidRDefault="00BB4804" w:rsidP="00F30547">
            <w:pPr>
              <w:pStyle w:val="NoSpacing"/>
              <w:rPr>
                <w:rFonts w:ascii="Times New Roman" w:hAnsi="Times New Roman" w:cs="Times New Roman"/>
              </w:rPr>
            </w:pPr>
            <w:r>
              <w:rPr>
                <w:rFonts w:ascii="Times New Roman" w:hAnsi="Times New Roman" w:cs="Times New Roman"/>
              </w:rPr>
              <w:t>18</w:t>
            </w:r>
          </w:p>
        </w:tc>
        <w:tc>
          <w:tcPr>
            <w:tcW w:w="452" w:type="pct"/>
            <w:gridSpan w:val="2"/>
            <w:tcBorders>
              <w:left w:val="nil"/>
              <w:right w:val="nil"/>
            </w:tcBorders>
            <w:vAlign w:val="center"/>
          </w:tcPr>
          <w:p w14:paraId="3EF903A1"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720D165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7B1F2C85"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75FBE293"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B300FC5"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5DD9E7D5"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0B9FCC78"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0C73D543"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52C9319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H</w:t>
            </w:r>
          </w:p>
        </w:tc>
      </w:tr>
      <w:tr w:rsidR="00581152" w:rsidRPr="008D371A" w14:paraId="400A4364" w14:textId="77777777" w:rsidTr="00F30547">
        <w:tc>
          <w:tcPr>
            <w:tcW w:w="939" w:type="pct"/>
            <w:tcBorders>
              <w:right w:val="nil"/>
            </w:tcBorders>
            <w:vAlign w:val="center"/>
          </w:tcPr>
          <w:p w14:paraId="0376DE88"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0243C095" w14:textId="77777777" w:rsidR="00BB4804" w:rsidRDefault="00BB4804" w:rsidP="00F30547">
            <w:pPr>
              <w:pStyle w:val="NoSpacing"/>
              <w:rPr>
                <w:rFonts w:ascii="Times New Roman" w:hAnsi="Times New Roman" w:cs="Times New Roman"/>
              </w:rPr>
            </w:pPr>
            <w:r>
              <w:rPr>
                <w:rFonts w:ascii="Times New Roman" w:hAnsi="Times New Roman" w:cs="Times New Roman"/>
              </w:rPr>
              <w:t>19</w:t>
            </w:r>
          </w:p>
        </w:tc>
        <w:tc>
          <w:tcPr>
            <w:tcW w:w="452" w:type="pct"/>
            <w:gridSpan w:val="2"/>
            <w:tcBorders>
              <w:left w:val="nil"/>
              <w:right w:val="nil"/>
            </w:tcBorders>
            <w:vAlign w:val="center"/>
          </w:tcPr>
          <w:p w14:paraId="7C3FB7F1"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33809203"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666E586D"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3243378C"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7B6C98E"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1A5F224E"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4EB3DC62"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651A7178"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427FE89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 H</w:t>
            </w:r>
          </w:p>
        </w:tc>
      </w:tr>
      <w:tr w:rsidR="00581152" w:rsidRPr="008D371A" w14:paraId="35E3A77A" w14:textId="77777777" w:rsidTr="00F30547">
        <w:tc>
          <w:tcPr>
            <w:tcW w:w="939" w:type="pct"/>
            <w:tcBorders>
              <w:right w:val="nil"/>
            </w:tcBorders>
            <w:vAlign w:val="center"/>
          </w:tcPr>
          <w:p w14:paraId="64C8340F"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6F821064" w14:textId="77777777" w:rsidR="00BB4804" w:rsidRDefault="00BB4804" w:rsidP="00F30547">
            <w:pPr>
              <w:pStyle w:val="NoSpacing"/>
              <w:rPr>
                <w:rFonts w:ascii="Times New Roman" w:hAnsi="Times New Roman" w:cs="Times New Roman"/>
              </w:rPr>
            </w:pPr>
            <w:r>
              <w:rPr>
                <w:rFonts w:ascii="Times New Roman" w:hAnsi="Times New Roman" w:cs="Times New Roman"/>
              </w:rPr>
              <w:t>20</w:t>
            </w:r>
          </w:p>
        </w:tc>
        <w:tc>
          <w:tcPr>
            <w:tcW w:w="452" w:type="pct"/>
            <w:gridSpan w:val="2"/>
            <w:tcBorders>
              <w:left w:val="nil"/>
              <w:right w:val="nil"/>
            </w:tcBorders>
            <w:vAlign w:val="center"/>
          </w:tcPr>
          <w:p w14:paraId="6BBBD093"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1F3D882C"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169DC1B3"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3D1CAEF8"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107129C0"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605B736E"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2F682425" w14:textId="77777777" w:rsidR="00BB4804" w:rsidRDefault="00BB4804" w:rsidP="00F30547">
            <w:pPr>
              <w:pStyle w:val="NoSpacing"/>
              <w:rPr>
                <w:rFonts w:ascii="Times New Roman" w:hAnsi="Times New Roman" w:cs="Times New Roman"/>
              </w:rPr>
            </w:pPr>
            <w:r>
              <w:rPr>
                <w:rFonts w:ascii="Times New Roman" w:hAnsi="Times New Roman" w:cs="Times New Roman"/>
              </w:rPr>
              <w:t>Medium</w:t>
            </w:r>
          </w:p>
        </w:tc>
        <w:tc>
          <w:tcPr>
            <w:tcW w:w="452" w:type="pct"/>
            <w:tcBorders>
              <w:left w:val="nil"/>
              <w:right w:val="nil"/>
            </w:tcBorders>
            <w:vAlign w:val="center"/>
          </w:tcPr>
          <w:p w14:paraId="493F6978"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20BE0C1E"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H</w:t>
            </w:r>
          </w:p>
        </w:tc>
      </w:tr>
      <w:tr w:rsidR="00581152" w:rsidRPr="008D371A" w14:paraId="6D126056" w14:textId="77777777" w:rsidTr="00F30547">
        <w:tc>
          <w:tcPr>
            <w:tcW w:w="939" w:type="pct"/>
            <w:tcBorders>
              <w:right w:val="nil"/>
            </w:tcBorders>
            <w:vAlign w:val="center"/>
          </w:tcPr>
          <w:p w14:paraId="799CBF38"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0D60C7A0" w14:textId="77777777" w:rsidR="00BB4804" w:rsidRDefault="00BB4804" w:rsidP="00F30547">
            <w:pPr>
              <w:pStyle w:val="NoSpacing"/>
              <w:rPr>
                <w:rFonts w:ascii="Times New Roman" w:hAnsi="Times New Roman" w:cs="Times New Roman"/>
              </w:rPr>
            </w:pPr>
            <w:r>
              <w:rPr>
                <w:rFonts w:ascii="Times New Roman" w:hAnsi="Times New Roman" w:cs="Times New Roman"/>
              </w:rPr>
              <w:t>21</w:t>
            </w:r>
          </w:p>
        </w:tc>
        <w:tc>
          <w:tcPr>
            <w:tcW w:w="452" w:type="pct"/>
            <w:gridSpan w:val="2"/>
            <w:tcBorders>
              <w:left w:val="nil"/>
              <w:right w:val="nil"/>
            </w:tcBorders>
            <w:vAlign w:val="center"/>
          </w:tcPr>
          <w:p w14:paraId="54D6F76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55DDFFA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40A6D18A"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5AC1635D"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80DC485"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53390512"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4D846CD0" w14:textId="77777777" w:rsidR="00BB4804" w:rsidRDefault="00BB4804" w:rsidP="00F30547">
            <w:pPr>
              <w:pStyle w:val="NoSpacing"/>
              <w:rPr>
                <w:rFonts w:ascii="Times New Roman" w:hAnsi="Times New Roman" w:cs="Times New Roman"/>
              </w:rPr>
            </w:pPr>
            <w:r>
              <w:rPr>
                <w:rFonts w:ascii="Times New Roman" w:hAnsi="Times New Roman" w:cs="Times New Roman"/>
              </w:rPr>
              <w:t>Medium</w:t>
            </w:r>
          </w:p>
        </w:tc>
        <w:tc>
          <w:tcPr>
            <w:tcW w:w="452" w:type="pct"/>
            <w:tcBorders>
              <w:left w:val="nil"/>
              <w:right w:val="nil"/>
            </w:tcBorders>
            <w:vAlign w:val="center"/>
          </w:tcPr>
          <w:p w14:paraId="6C4F4944"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R</w:t>
            </w:r>
          </w:p>
        </w:tc>
        <w:tc>
          <w:tcPr>
            <w:tcW w:w="312" w:type="pct"/>
            <w:tcBorders>
              <w:left w:val="nil"/>
              <w:right w:val="nil"/>
            </w:tcBorders>
            <w:vAlign w:val="center"/>
          </w:tcPr>
          <w:p w14:paraId="38BAB083"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H</w:t>
            </w:r>
          </w:p>
        </w:tc>
      </w:tr>
      <w:tr w:rsidR="00581152" w:rsidRPr="008D371A" w14:paraId="1ABCCEA6" w14:textId="77777777" w:rsidTr="00F30547">
        <w:tc>
          <w:tcPr>
            <w:tcW w:w="939" w:type="pct"/>
            <w:tcBorders>
              <w:right w:val="nil"/>
            </w:tcBorders>
            <w:vAlign w:val="center"/>
          </w:tcPr>
          <w:p w14:paraId="7506BFC5" w14:textId="77777777" w:rsidR="00BB4804" w:rsidRPr="008D371A" w:rsidRDefault="00BB4804" w:rsidP="00F30547">
            <w:pPr>
              <w:pStyle w:val="NoSpacing"/>
              <w:rPr>
                <w:rFonts w:ascii="Times New Roman" w:hAnsi="Times New Roman" w:cs="Times New Roman"/>
              </w:rPr>
            </w:pPr>
            <w:r w:rsidRPr="00760CA8">
              <w:rPr>
                <w:rFonts w:ascii="Times New Roman" w:hAnsi="Times New Roman" w:cs="Times New Roman"/>
              </w:rPr>
              <w:t>Hollins</w:t>
            </w:r>
            <w:r>
              <w:rPr>
                <w:rFonts w:ascii="Times New Roman" w:hAnsi="Times New Roman" w:cs="Times New Roman"/>
              </w:rPr>
              <w:t xml:space="preserve"> (2017)</w:t>
            </w:r>
          </w:p>
        </w:tc>
        <w:tc>
          <w:tcPr>
            <w:tcW w:w="452" w:type="pct"/>
            <w:tcBorders>
              <w:left w:val="nil"/>
              <w:right w:val="nil"/>
            </w:tcBorders>
            <w:vAlign w:val="center"/>
          </w:tcPr>
          <w:p w14:paraId="1EF7E46D" w14:textId="77777777" w:rsidR="00BB4804" w:rsidRDefault="00BB4804" w:rsidP="00F30547">
            <w:pPr>
              <w:pStyle w:val="NoSpacing"/>
              <w:rPr>
                <w:rFonts w:ascii="Times New Roman" w:hAnsi="Times New Roman" w:cs="Times New Roman"/>
              </w:rPr>
            </w:pPr>
            <w:r>
              <w:rPr>
                <w:rFonts w:ascii="Times New Roman" w:hAnsi="Times New Roman" w:cs="Times New Roman"/>
              </w:rPr>
              <w:t>22</w:t>
            </w:r>
          </w:p>
        </w:tc>
        <w:tc>
          <w:tcPr>
            <w:tcW w:w="452" w:type="pct"/>
            <w:gridSpan w:val="2"/>
            <w:tcBorders>
              <w:left w:val="nil"/>
              <w:right w:val="nil"/>
            </w:tcBorders>
            <w:vAlign w:val="center"/>
          </w:tcPr>
          <w:p w14:paraId="2702E6D1"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355DA2C3"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4</w:t>
            </w:r>
          </w:p>
        </w:tc>
        <w:tc>
          <w:tcPr>
            <w:tcW w:w="662" w:type="pct"/>
            <w:tcBorders>
              <w:left w:val="nil"/>
              <w:right w:val="nil"/>
            </w:tcBorders>
            <w:vAlign w:val="center"/>
          </w:tcPr>
          <w:p w14:paraId="6439ED93"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1D5C1F55"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722ACE2D"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6F348D6E"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4E22A32E"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21DAFD0C"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I</w:t>
            </w:r>
          </w:p>
        </w:tc>
        <w:tc>
          <w:tcPr>
            <w:tcW w:w="312" w:type="pct"/>
            <w:tcBorders>
              <w:left w:val="nil"/>
              <w:right w:val="nil"/>
            </w:tcBorders>
            <w:vAlign w:val="center"/>
          </w:tcPr>
          <w:p w14:paraId="692A66F6"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w:t>
            </w:r>
          </w:p>
        </w:tc>
      </w:tr>
      <w:tr w:rsidR="00581152" w:rsidRPr="008D371A" w14:paraId="6B6A0C31" w14:textId="77777777" w:rsidTr="00F30547">
        <w:tc>
          <w:tcPr>
            <w:tcW w:w="939" w:type="pct"/>
            <w:tcBorders>
              <w:right w:val="nil"/>
            </w:tcBorders>
            <w:vAlign w:val="center"/>
          </w:tcPr>
          <w:p w14:paraId="585083A1"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23D6A2B6" w14:textId="77777777" w:rsidR="00BB4804" w:rsidRDefault="00BB4804" w:rsidP="00F30547">
            <w:pPr>
              <w:pStyle w:val="NoSpacing"/>
              <w:rPr>
                <w:rFonts w:ascii="Times New Roman" w:hAnsi="Times New Roman" w:cs="Times New Roman"/>
              </w:rPr>
            </w:pPr>
            <w:r>
              <w:rPr>
                <w:rFonts w:ascii="Times New Roman" w:hAnsi="Times New Roman" w:cs="Times New Roman"/>
              </w:rPr>
              <w:t>23</w:t>
            </w:r>
          </w:p>
        </w:tc>
        <w:tc>
          <w:tcPr>
            <w:tcW w:w="452" w:type="pct"/>
            <w:gridSpan w:val="2"/>
            <w:tcBorders>
              <w:left w:val="nil"/>
              <w:right w:val="nil"/>
            </w:tcBorders>
            <w:vAlign w:val="center"/>
          </w:tcPr>
          <w:p w14:paraId="7C2CF72E"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0</w:t>
            </w:r>
          </w:p>
        </w:tc>
        <w:tc>
          <w:tcPr>
            <w:tcW w:w="555" w:type="pct"/>
            <w:tcBorders>
              <w:left w:val="nil"/>
              <w:right w:val="nil"/>
            </w:tcBorders>
            <w:vAlign w:val="center"/>
          </w:tcPr>
          <w:p w14:paraId="6413A275"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604C615B"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6D3FCDC0"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3C53BF5"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0099ED91"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2C3B72B3"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7FABF825"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I</w:t>
            </w:r>
          </w:p>
        </w:tc>
        <w:tc>
          <w:tcPr>
            <w:tcW w:w="312" w:type="pct"/>
            <w:tcBorders>
              <w:left w:val="nil"/>
              <w:right w:val="nil"/>
            </w:tcBorders>
            <w:vAlign w:val="center"/>
          </w:tcPr>
          <w:p w14:paraId="035B94D9"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w:t>
            </w:r>
          </w:p>
        </w:tc>
      </w:tr>
      <w:tr w:rsidR="00581152" w:rsidRPr="008D371A" w14:paraId="661AEEF6" w14:textId="77777777" w:rsidTr="00F30547">
        <w:tc>
          <w:tcPr>
            <w:tcW w:w="939" w:type="pct"/>
            <w:tcBorders>
              <w:right w:val="nil"/>
            </w:tcBorders>
            <w:vAlign w:val="center"/>
          </w:tcPr>
          <w:p w14:paraId="5E6298F4"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0792AABA" w14:textId="77777777" w:rsidR="00BB4804" w:rsidRDefault="00BB4804" w:rsidP="00F30547">
            <w:pPr>
              <w:pStyle w:val="NoSpacing"/>
              <w:rPr>
                <w:rFonts w:ascii="Times New Roman" w:hAnsi="Times New Roman" w:cs="Times New Roman"/>
              </w:rPr>
            </w:pPr>
            <w:r>
              <w:rPr>
                <w:rFonts w:ascii="Times New Roman" w:hAnsi="Times New Roman" w:cs="Times New Roman"/>
              </w:rPr>
              <w:t>24</w:t>
            </w:r>
          </w:p>
        </w:tc>
        <w:tc>
          <w:tcPr>
            <w:tcW w:w="452" w:type="pct"/>
            <w:gridSpan w:val="2"/>
            <w:tcBorders>
              <w:left w:val="nil"/>
              <w:right w:val="nil"/>
            </w:tcBorders>
            <w:vAlign w:val="center"/>
          </w:tcPr>
          <w:p w14:paraId="20AC4C22"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3-5</w:t>
            </w:r>
          </w:p>
        </w:tc>
        <w:tc>
          <w:tcPr>
            <w:tcW w:w="555" w:type="pct"/>
            <w:tcBorders>
              <w:left w:val="nil"/>
              <w:right w:val="nil"/>
            </w:tcBorders>
            <w:vAlign w:val="center"/>
          </w:tcPr>
          <w:p w14:paraId="0CF16E6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1, 2,</w:t>
            </w:r>
          </w:p>
        </w:tc>
        <w:tc>
          <w:tcPr>
            <w:tcW w:w="662" w:type="pct"/>
            <w:tcBorders>
              <w:left w:val="nil"/>
              <w:right w:val="nil"/>
            </w:tcBorders>
            <w:vAlign w:val="center"/>
          </w:tcPr>
          <w:p w14:paraId="2525F64F"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3C66FCB5"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5F97495" w14:textId="77777777" w:rsidR="00BB4804" w:rsidRPr="00AC6B37" w:rsidRDefault="00BB4804" w:rsidP="00F30547">
            <w:pPr>
              <w:pStyle w:val="NoSpacing"/>
              <w:rPr>
                <w:rFonts w:ascii="Times New Roman" w:hAnsi="Times New Roman" w:cs="Times New Roman"/>
              </w:rPr>
            </w:pPr>
            <w:r>
              <w:rPr>
                <w:rFonts w:ascii="Times New Roman" w:hAnsi="Times New Roman" w:cs="Times New Roman"/>
              </w:rPr>
              <w:t>Public</w:t>
            </w:r>
          </w:p>
        </w:tc>
        <w:tc>
          <w:tcPr>
            <w:tcW w:w="383" w:type="pct"/>
            <w:tcBorders>
              <w:left w:val="nil"/>
              <w:right w:val="nil"/>
            </w:tcBorders>
            <w:vAlign w:val="center"/>
          </w:tcPr>
          <w:p w14:paraId="5DFA673F" w14:textId="77777777" w:rsidR="00BB4804" w:rsidRPr="008D371A" w:rsidRDefault="00BB4804" w:rsidP="00F30547">
            <w:pPr>
              <w:pStyle w:val="NoSpacing"/>
              <w:rPr>
                <w:rFonts w:ascii="Times New Roman" w:hAnsi="Times New Roman" w:cs="Times New Roman"/>
              </w:rPr>
            </w:pPr>
            <w:r w:rsidRPr="00AC6B37">
              <w:rPr>
                <w:rFonts w:ascii="Times New Roman" w:hAnsi="Times New Roman" w:cs="Times New Roman"/>
              </w:rPr>
              <w:t>Urban</w:t>
            </w:r>
          </w:p>
        </w:tc>
        <w:tc>
          <w:tcPr>
            <w:tcW w:w="377" w:type="pct"/>
            <w:tcBorders>
              <w:left w:val="nil"/>
              <w:right w:val="nil"/>
            </w:tcBorders>
            <w:vAlign w:val="center"/>
          </w:tcPr>
          <w:p w14:paraId="6A57C409" w14:textId="77777777" w:rsidR="00BB4804" w:rsidRDefault="00BB4804" w:rsidP="00F30547">
            <w:pPr>
              <w:pStyle w:val="NoSpacing"/>
              <w:rPr>
                <w:rFonts w:ascii="Times New Roman" w:hAnsi="Times New Roman" w:cs="Times New Roman"/>
              </w:rPr>
            </w:pPr>
            <w:r>
              <w:rPr>
                <w:rFonts w:ascii="Times New Roman" w:hAnsi="Times New Roman" w:cs="Times New Roman"/>
              </w:rPr>
              <w:t>Low</w:t>
            </w:r>
          </w:p>
        </w:tc>
        <w:tc>
          <w:tcPr>
            <w:tcW w:w="452" w:type="pct"/>
            <w:tcBorders>
              <w:left w:val="nil"/>
              <w:right w:val="nil"/>
            </w:tcBorders>
            <w:vAlign w:val="center"/>
          </w:tcPr>
          <w:p w14:paraId="4408798A" w14:textId="77777777" w:rsidR="00BB4804" w:rsidRPr="00D870CA" w:rsidRDefault="00BB4804" w:rsidP="00F30547">
            <w:pPr>
              <w:pStyle w:val="NoSpacing"/>
              <w:rPr>
                <w:rFonts w:ascii="Times New Roman" w:hAnsi="Times New Roman" w:cs="Times New Roman"/>
              </w:rPr>
            </w:pPr>
            <w:r>
              <w:rPr>
                <w:rFonts w:ascii="Times New Roman" w:hAnsi="Times New Roman" w:cs="Times New Roman"/>
              </w:rPr>
              <w:t>C</w:t>
            </w:r>
          </w:p>
        </w:tc>
        <w:tc>
          <w:tcPr>
            <w:tcW w:w="312" w:type="pct"/>
            <w:tcBorders>
              <w:left w:val="nil"/>
              <w:right w:val="nil"/>
            </w:tcBorders>
            <w:vAlign w:val="center"/>
          </w:tcPr>
          <w:p w14:paraId="142B8F0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E</w:t>
            </w:r>
          </w:p>
        </w:tc>
      </w:tr>
      <w:tr w:rsidR="00581152" w:rsidRPr="008D371A" w14:paraId="3C4CEE31" w14:textId="77777777" w:rsidTr="00F30547">
        <w:tc>
          <w:tcPr>
            <w:tcW w:w="939" w:type="pct"/>
            <w:tcBorders>
              <w:right w:val="nil"/>
            </w:tcBorders>
            <w:vAlign w:val="center"/>
          </w:tcPr>
          <w:p w14:paraId="324E310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So et al. (2021)</w:t>
            </w:r>
          </w:p>
        </w:tc>
        <w:tc>
          <w:tcPr>
            <w:tcW w:w="452" w:type="pct"/>
            <w:tcBorders>
              <w:left w:val="nil"/>
              <w:right w:val="nil"/>
            </w:tcBorders>
            <w:vAlign w:val="center"/>
          </w:tcPr>
          <w:p w14:paraId="7CBBB554" w14:textId="77777777" w:rsidR="00BB4804" w:rsidRDefault="00BB4804" w:rsidP="00F30547">
            <w:pPr>
              <w:pStyle w:val="NoSpacing"/>
              <w:rPr>
                <w:rFonts w:ascii="Times New Roman" w:hAnsi="Times New Roman" w:cs="Times New Roman"/>
              </w:rPr>
            </w:pPr>
            <w:r>
              <w:rPr>
                <w:rFonts w:ascii="Times New Roman" w:hAnsi="Times New Roman" w:cs="Times New Roman"/>
              </w:rPr>
              <w:t>25</w:t>
            </w:r>
          </w:p>
        </w:tc>
        <w:tc>
          <w:tcPr>
            <w:tcW w:w="452" w:type="pct"/>
            <w:gridSpan w:val="2"/>
            <w:tcBorders>
              <w:left w:val="nil"/>
              <w:right w:val="nil"/>
            </w:tcBorders>
            <w:vAlign w:val="center"/>
          </w:tcPr>
          <w:p w14:paraId="482844E9"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3-5</w:t>
            </w:r>
          </w:p>
        </w:tc>
        <w:tc>
          <w:tcPr>
            <w:tcW w:w="555" w:type="pct"/>
            <w:tcBorders>
              <w:left w:val="nil"/>
              <w:right w:val="nil"/>
            </w:tcBorders>
            <w:vAlign w:val="center"/>
          </w:tcPr>
          <w:p w14:paraId="4BE87FFA"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318271CA"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74540F4C"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57DBCA4C"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383" w:type="pct"/>
            <w:tcBorders>
              <w:left w:val="nil"/>
              <w:right w:val="nil"/>
            </w:tcBorders>
            <w:vAlign w:val="center"/>
          </w:tcPr>
          <w:p w14:paraId="25ECB0D5"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377" w:type="pct"/>
            <w:tcBorders>
              <w:left w:val="nil"/>
              <w:right w:val="nil"/>
            </w:tcBorders>
            <w:vAlign w:val="center"/>
          </w:tcPr>
          <w:p w14:paraId="0448B273"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73F29BCC" w14:textId="77777777" w:rsidR="00BB4804" w:rsidRPr="006D1F0E" w:rsidRDefault="00BB4804" w:rsidP="00F30547">
            <w:pPr>
              <w:pStyle w:val="NoSpacing"/>
              <w:rPr>
                <w:rFonts w:ascii="Times New Roman" w:hAnsi="Times New Roman" w:cs="Times New Roman"/>
              </w:rPr>
            </w:pPr>
            <w:r>
              <w:rPr>
                <w:rFonts w:ascii="Times New Roman" w:hAnsi="Times New Roman" w:cs="Times New Roman"/>
              </w:rPr>
              <w:t>S</w:t>
            </w:r>
          </w:p>
        </w:tc>
        <w:tc>
          <w:tcPr>
            <w:tcW w:w="312" w:type="pct"/>
            <w:tcBorders>
              <w:left w:val="nil"/>
              <w:right w:val="nil"/>
            </w:tcBorders>
            <w:vAlign w:val="center"/>
          </w:tcPr>
          <w:p w14:paraId="3D4FDFE3"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r>
      <w:tr w:rsidR="00581152" w:rsidRPr="008D371A" w14:paraId="060C21A9" w14:textId="77777777" w:rsidTr="00F30547">
        <w:tc>
          <w:tcPr>
            <w:tcW w:w="939" w:type="pct"/>
            <w:tcBorders>
              <w:right w:val="nil"/>
            </w:tcBorders>
            <w:vAlign w:val="center"/>
          </w:tcPr>
          <w:p w14:paraId="6E5AA8C3"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27092E50" w14:textId="77777777" w:rsidR="00BB4804" w:rsidRDefault="00BB4804" w:rsidP="00F30547">
            <w:pPr>
              <w:pStyle w:val="NoSpacing"/>
              <w:rPr>
                <w:rFonts w:ascii="Times New Roman" w:hAnsi="Times New Roman" w:cs="Times New Roman"/>
              </w:rPr>
            </w:pPr>
            <w:r>
              <w:rPr>
                <w:rFonts w:ascii="Times New Roman" w:hAnsi="Times New Roman" w:cs="Times New Roman"/>
              </w:rPr>
              <w:t>26</w:t>
            </w:r>
          </w:p>
        </w:tc>
        <w:tc>
          <w:tcPr>
            <w:tcW w:w="452" w:type="pct"/>
            <w:gridSpan w:val="2"/>
            <w:tcBorders>
              <w:left w:val="nil"/>
              <w:right w:val="nil"/>
            </w:tcBorders>
            <w:vAlign w:val="center"/>
          </w:tcPr>
          <w:p w14:paraId="26427514"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6-10</w:t>
            </w:r>
          </w:p>
        </w:tc>
        <w:tc>
          <w:tcPr>
            <w:tcW w:w="555" w:type="pct"/>
            <w:tcBorders>
              <w:left w:val="nil"/>
              <w:right w:val="nil"/>
            </w:tcBorders>
            <w:vAlign w:val="center"/>
          </w:tcPr>
          <w:p w14:paraId="5E9234B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29FD3004"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7127D3A1"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1FEEC0F3"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383" w:type="pct"/>
            <w:tcBorders>
              <w:left w:val="nil"/>
              <w:right w:val="nil"/>
            </w:tcBorders>
            <w:vAlign w:val="center"/>
          </w:tcPr>
          <w:p w14:paraId="256CEEB0"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377" w:type="pct"/>
            <w:tcBorders>
              <w:left w:val="nil"/>
              <w:right w:val="nil"/>
            </w:tcBorders>
            <w:vAlign w:val="center"/>
          </w:tcPr>
          <w:p w14:paraId="5F0DA98E"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2A2EA1B3" w14:textId="77777777" w:rsidR="00BB4804" w:rsidRPr="006D1F0E" w:rsidRDefault="00BB4804" w:rsidP="00F30547">
            <w:pPr>
              <w:pStyle w:val="NoSpacing"/>
              <w:rPr>
                <w:rFonts w:ascii="Times New Roman" w:hAnsi="Times New Roman" w:cs="Times New Roman"/>
              </w:rPr>
            </w:pPr>
            <w:r>
              <w:rPr>
                <w:rFonts w:ascii="Times New Roman" w:hAnsi="Times New Roman" w:cs="Times New Roman"/>
              </w:rPr>
              <w:t>S</w:t>
            </w:r>
          </w:p>
        </w:tc>
        <w:tc>
          <w:tcPr>
            <w:tcW w:w="312" w:type="pct"/>
            <w:tcBorders>
              <w:left w:val="nil"/>
              <w:right w:val="nil"/>
            </w:tcBorders>
            <w:vAlign w:val="center"/>
          </w:tcPr>
          <w:p w14:paraId="59FE2632"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r>
      <w:tr w:rsidR="00581152" w:rsidRPr="008D371A" w14:paraId="04FF3983" w14:textId="77777777" w:rsidTr="00F30547">
        <w:tc>
          <w:tcPr>
            <w:tcW w:w="939" w:type="pct"/>
            <w:tcBorders>
              <w:right w:val="nil"/>
            </w:tcBorders>
            <w:vAlign w:val="center"/>
          </w:tcPr>
          <w:p w14:paraId="1A740D8A" w14:textId="77777777" w:rsidR="00BB4804" w:rsidRPr="008D371A" w:rsidRDefault="00BB4804" w:rsidP="00F30547">
            <w:pPr>
              <w:pStyle w:val="NoSpacing"/>
              <w:rPr>
                <w:rFonts w:ascii="Times New Roman" w:hAnsi="Times New Roman" w:cs="Times New Roman"/>
              </w:rPr>
            </w:pPr>
          </w:p>
        </w:tc>
        <w:tc>
          <w:tcPr>
            <w:tcW w:w="452" w:type="pct"/>
            <w:tcBorders>
              <w:left w:val="nil"/>
              <w:right w:val="nil"/>
            </w:tcBorders>
            <w:vAlign w:val="center"/>
          </w:tcPr>
          <w:p w14:paraId="713822FF" w14:textId="77777777" w:rsidR="00BB4804" w:rsidRDefault="00BB4804" w:rsidP="00F30547">
            <w:pPr>
              <w:pStyle w:val="NoSpacing"/>
              <w:rPr>
                <w:rFonts w:ascii="Times New Roman" w:hAnsi="Times New Roman" w:cs="Times New Roman"/>
              </w:rPr>
            </w:pPr>
            <w:r>
              <w:rPr>
                <w:rFonts w:ascii="Times New Roman" w:hAnsi="Times New Roman" w:cs="Times New Roman"/>
              </w:rPr>
              <w:t>27</w:t>
            </w:r>
          </w:p>
        </w:tc>
        <w:tc>
          <w:tcPr>
            <w:tcW w:w="452" w:type="pct"/>
            <w:gridSpan w:val="2"/>
            <w:tcBorders>
              <w:left w:val="nil"/>
              <w:right w:val="nil"/>
            </w:tcBorders>
            <w:vAlign w:val="center"/>
          </w:tcPr>
          <w:p w14:paraId="11A395D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3-5</w:t>
            </w:r>
          </w:p>
        </w:tc>
        <w:tc>
          <w:tcPr>
            <w:tcW w:w="555" w:type="pct"/>
            <w:tcBorders>
              <w:left w:val="nil"/>
              <w:right w:val="nil"/>
            </w:tcBorders>
            <w:vAlign w:val="center"/>
          </w:tcPr>
          <w:p w14:paraId="4BB8F11D"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right w:val="nil"/>
            </w:tcBorders>
            <w:vAlign w:val="center"/>
          </w:tcPr>
          <w:p w14:paraId="1106B75C"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right w:val="nil"/>
            </w:tcBorders>
            <w:vAlign w:val="center"/>
          </w:tcPr>
          <w:p w14:paraId="49B50562" w14:textId="77777777" w:rsidR="00BB4804" w:rsidRDefault="00BB4804" w:rsidP="00F30547">
            <w:pPr>
              <w:pStyle w:val="NoSpacing"/>
              <w:rPr>
                <w:rFonts w:ascii="Times New Roman" w:hAnsi="Times New Roman" w:cs="Times New Roman"/>
              </w:rPr>
            </w:pPr>
          </w:p>
        </w:tc>
        <w:tc>
          <w:tcPr>
            <w:tcW w:w="312" w:type="pct"/>
            <w:tcBorders>
              <w:left w:val="nil"/>
              <w:right w:val="nil"/>
            </w:tcBorders>
            <w:vAlign w:val="center"/>
          </w:tcPr>
          <w:p w14:paraId="409C6CF3"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383" w:type="pct"/>
            <w:tcBorders>
              <w:left w:val="nil"/>
              <w:right w:val="nil"/>
            </w:tcBorders>
            <w:vAlign w:val="center"/>
          </w:tcPr>
          <w:p w14:paraId="4C0C72C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377" w:type="pct"/>
            <w:tcBorders>
              <w:left w:val="nil"/>
              <w:right w:val="nil"/>
            </w:tcBorders>
            <w:vAlign w:val="center"/>
          </w:tcPr>
          <w:p w14:paraId="149C2798"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right w:val="nil"/>
            </w:tcBorders>
            <w:vAlign w:val="center"/>
          </w:tcPr>
          <w:p w14:paraId="45A7A9E4" w14:textId="77777777" w:rsidR="00BB4804" w:rsidRPr="006D1F0E" w:rsidRDefault="00BB4804" w:rsidP="00F30547">
            <w:pPr>
              <w:pStyle w:val="NoSpacing"/>
              <w:rPr>
                <w:rFonts w:ascii="Times New Roman" w:hAnsi="Times New Roman" w:cs="Times New Roman"/>
              </w:rPr>
            </w:pPr>
            <w:r>
              <w:rPr>
                <w:rFonts w:ascii="Times New Roman" w:hAnsi="Times New Roman" w:cs="Times New Roman"/>
              </w:rPr>
              <w:t>S</w:t>
            </w:r>
          </w:p>
        </w:tc>
        <w:tc>
          <w:tcPr>
            <w:tcW w:w="312" w:type="pct"/>
            <w:tcBorders>
              <w:left w:val="nil"/>
              <w:right w:val="nil"/>
            </w:tcBorders>
            <w:vAlign w:val="center"/>
          </w:tcPr>
          <w:p w14:paraId="4C2D681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r>
      <w:tr w:rsidR="00581152" w:rsidRPr="008D371A" w14:paraId="58E54F56" w14:textId="77777777" w:rsidTr="00F30547">
        <w:tc>
          <w:tcPr>
            <w:tcW w:w="939" w:type="pct"/>
            <w:tcBorders>
              <w:bottom w:val="single" w:sz="12" w:space="0" w:color="auto"/>
              <w:right w:val="nil"/>
            </w:tcBorders>
            <w:vAlign w:val="center"/>
          </w:tcPr>
          <w:p w14:paraId="4E4E136E" w14:textId="77777777" w:rsidR="00BB4804" w:rsidRPr="008D371A" w:rsidRDefault="00BB4804" w:rsidP="00F30547">
            <w:pPr>
              <w:pStyle w:val="NoSpacing"/>
              <w:rPr>
                <w:rFonts w:ascii="Times New Roman" w:hAnsi="Times New Roman" w:cs="Times New Roman"/>
              </w:rPr>
            </w:pPr>
          </w:p>
        </w:tc>
        <w:tc>
          <w:tcPr>
            <w:tcW w:w="452" w:type="pct"/>
            <w:tcBorders>
              <w:left w:val="nil"/>
              <w:bottom w:val="single" w:sz="12" w:space="0" w:color="auto"/>
              <w:right w:val="nil"/>
            </w:tcBorders>
            <w:vAlign w:val="center"/>
          </w:tcPr>
          <w:p w14:paraId="244C4FAF" w14:textId="77777777" w:rsidR="00BB4804" w:rsidRDefault="00BB4804" w:rsidP="00F30547">
            <w:pPr>
              <w:pStyle w:val="NoSpacing"/>
              <w:rPr>
                <w:rFonts w:ascii="Times New Roman" w:hAnsi="Times New Roman" w:cs="Times New Roman"/>
              </w:rPr>
            </w:pPr>
            <w:r>
              <w:rPr>
                <w:rFonts w:ascii="Times New Roman" w:hAnsi="Times New Roman" w:cs="Times New Roman"/>
              </w:rPr>
              <w:t>28</w:t>
            </w:r>
          </w:p>
        </w:tc>
        <w:tc>
          <w:tcPr>
            <w:tcW w:w="452" w:type="pct"/>
            <w:gridSpan w:val="2"/>
            <w:tcBorders>
              <w:left w:val="nil"/>
              <w:bottom w:val="single" w:sz="12" w:space="0" w:color="auto"/>
              <w:right w:val="nil"/>
            </w:tcBorders>
            <w:vAlign w:val="center"/>
          </w:tcPr>
          <w:p w14:paraId="1E99B58F"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3-5</w:t>
            </w:r>
          </w:p>
        </w:tc>
        <w:tc>
          <w:tcPr>
            <w:tcW w:w="555" w:type="pct"/>
            <w:tcBorders>
              <w:left w:val="nil"/>
              <w:bottom w:val="single" w:sz="12" w:space="0" w:color="auto"/>
              <w:right w:val="nil"/>
            </w:tcBorders>
            <w:vAlign w:val="center"/>
          </w:tcPr>
          <w:p w14:paraId="09D6DF48"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662" w:type="pct"/>
            <w:tcBorders>
              <w:left w:val="nil"/>
              <w:bottom w:val="single" w:sz="12" w:space="0" w:color="auto"/>
              <w:right w:val="nil"/>
            </w:tcBorders>
            <w:vAlign w:val="center"/>
          </w:tcPr>
          <w:p w14:paraId="134086B4"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104" w:type="pct"/>
            <w:tcBorders>
              <w:left w:val="nil"/>
              <w:bottom w:val="single" w:sz="12" w:space="0" w:color="auto"/>
              <w:right w:val="nil"/>
            </w:tcBorders>
            <w:vAlign w:val="center"/>
          </w:tcPr>
          <w:p w14:paraId="2D7C6E0D" w14:textId="77777777" w:rsidR="00BB4804" w:rsidRDefault="00BB4804" w:rsidP="00F30547">
            <w:pPr>
              <w:pStyle w:val="NoSpacing"/>
              <w:rPr>
                <w:rFonts w:ascii="Times New Roman" w:hAnsi="Times New Roman" w:cs="Times New Roman"/>
              </w:rPr>
            </w:pPr>
          </w:p>
        </w:tc>
        <w:tc>
          <w:tcPr>
            <w:tcW w:w="312" w:type="pct"/>
            <w:tcBorders>
              <w:left w:val="nil"/>
              <w:bottom w:val="single" w:sz="12" w:space="0" w:color="auto"/>
              <w:right w:val="nil"/>
            </w:tcBorders>
            <w:vAlign w:val="center"/>
          </w:tcPr>
          <w:p w14:paraId="1996A737"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383" w:type="pct"/>
            <w:tcBorders>
              <w:left w:val="nil"/>
              <w:bottom w:val="single" w:sz="12" w:space="0" w:color="auto"/>
              <w:right w:val="nil"/>
            </w:tcBorders>
            <w:vAlign w:val="center"/>
          </w:tcPr>
          <w:p w14:paraId="4399AF30"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c>
          <w:tcPr>
            <w:tcW w:w="377" w:type="pct"/>
            <w:tcBorders>
              <w:left w:val="nil"/>
              <w:bottom w:val="single" w:sz="12" w:space="0" w:color="auto"/>
              <w:right w:val="nil"/>
            </w:tcBorders>
            <w:vAlign w:val="center"/>
          </w:tcPr>
          <w:p w14:paraId="79E2A5D7" w14:textId="77777777" w:rsidR="00BB4804" w:rsidRDefault="00BB4804" w:rsidP="00F30547">
            <w:pPr>
              <w:pStyle w:val="NoSpacing"/>
              <w:rPr>
                <w:rFonts w:ascii="Times New Roman" w:hAnsi="Times New Roman" w:cs="Times New Roman"/>
              </w:rPr>
            </w:pPr>
            <w:r>
              <w:rPr>
                <w:rFonts w:ascii="Times New Roman" w:hAnsi="Times New Roman" w:cs="Times New Roman"/>
              </w:rPr>
              <w:t>-</w:t>
            </w:r>
          </w:p>
        </w:tc>
        <w:tc>
          <w:tcPr>
            <w:tcW w:w="452" w:type="pct"/>
            <w:tcBorders>
              <w:left w:val="nil"/>
              <w:bottom w:val="single" w:sz="12" w:space="0" w:color="auto"/>
              <w:right w:val="nil"/>
            </w:tcBorders>
            <w:vAlign w:val="center"/>
          </w:tcPr>
          <w:p w14:paraId="07012E68" w14:textId="77777777" w:rsidR="00BB4804" w:rsidRPr="006D1F0E" w:rsidRDefault="00BB4804" w:rsidP="00F30547">
            <w:pPr>
              <w:pStyle w:val="NoSpacing"/>
              <w:rPr>
                <w:rFonts w:ascii="Times New Roman" w:hAnsi="Times New Roman" w:cs="Times New Roman"/>
              </w:rPr>
            </w:pPr>
            <w:r>
              <w:rPr>
                <w:rFonts w:ascii="Times New Roman" w:hAnsi="Times New Roman" w:cs="Times New Roman"/>
              </w:rPr>
              <w:t>S</w:t>
            </w:r>
          </w:p>
        </w:tc>
        <w:tc>
          <w:tcPr>
            <w:tcW w:w="312" w:type="pct"/>
            <w:tcBorders>
              <w:left w:val="nil"/>
              <w:bottom w:val="single" w:sz="12" w:space="0" w:color="auto"/>
              <w:right w:val="nil"/>
            </w:tcBorders>
            <w:vAlign w:val="center"/>
          </w:tcPr>
          <w:p w14:paraId="535E04A7" w14:textId="77777777" w:rsidR="00BB4804" w:rsidRPr="008D371A" w:rsidRDefault="00BB4804" w:rsidP="00F30547">
            <w:pPr>
              <w:pStyle w:val="NoSpacing"/>
              <w:rPr>
                <w:rFonts w:ascii="Times New Roman" w:hAnsi="Times New Roman" w:cs="Times New Roman"/>
              </w:rPr>
            </w:pPr>
            <w:r>
              <w:rPr>
                <w:rFonts w:ascii="Times New Roman" w:hAnsi="Times New Roman" w:cs="Times New Roman"/>
              </w:rPr>
              <w:t>-</w:t>
            </w:r>
          </w:p>
        </w:tc>
      </w:tr>
    </w:tbl>
    <w:p w14:paraId="6D7B6A69" w14:textId="4FA621D2" w:rsidR="00C85CA8" w:rsidRPr="00AE4568" w:rsidRDefault="00BB4804" w:rsidP="00AE4568">
      <w:pPr>
        <w:pStyle w:val="TableFigure"/>
        <w:spacing w:before="0"/>
        <w:rPr>
          <w:rFonts w:ascii="Times New Roman" w:hAnsi="Times New Roman" w:cs="Times New Roman"/>
          <w:sz w:val="20"/>
          <w:szCs w:val="20"/>
        </w:rPr>
      </w:pPr>
      <w:r w:rsidRPr="005A1BDB">
        <w:rPr>
          <w:rStyle w:val="Emphasis"/>
          <w:rFonts w:ascii="Times New Roman" w:hAnsi="Times New Roman" w:cs="Times New Roman"/>
          <w:sz w:val="20"/>
          <w:szCs w:val="20"/>
        </w:rPr>
        <w:t>Note</w:t>
      </w:r>
      <w:r w:rsidR="005A1BDB">
        <w:rPr>
          <w:rStyle w:val="Emphasis"/>
          <w:rFonts w:ascii="Times New Roman" w:hAnsi="Times New Roman" w:cs="Times New Roman"/>
          <w:i w:val="0"/>
          <w:iCs w:val="0"/>
          <w:sz w:val="20"/>
          <w:szCs w:val="20"/>
        </w:rPr>
        <w:t>.</w:t>
      </w:r>
      <w:r w:rsidRPr="008D371A">
        <w:rPr>
          <w:rFonts w:ascii="Times New Roman" w:hAnsi="Times New Roman" w:cs="Times New Roman"/>
          <w:sz w:val="20"/>
          <w:szCs w:val="20"/>
        </w:rPr>
        <w:t xml:space="preserve"> Total case studies (</w:t>
      </w:r>
      <w:r w:rsidRPr="00AE4568">
        <w:rPr>
          <w:rFonts w:ascii="Times New Roman" w:hAnsi="Times New Roman" w:cs="Times New Roman"/>
          <w:i/>
          <w:iCs/>
          <w:sz w:val="20"/>
          <w:szCs w:val="20"/>
        </w:rPr>
        <w:t>n</w:t>
      </w:r>
      <w:r w:rsidRPr="008D371A">
        <w:rPr>
          <w:rFonts w:ascii="Times New Roman" w:hAnsi="Times New Roman" w:cs="Times New Roman"/>
          <w:sz w:val="20"/>
          <w:szCs w:val="20"/>
        </w:rPr>
        <w:t xml:space="preserve"> = 28).</w:t>
      </w:r>
      <w:r>
        <w:rPr>
          <w:rFonts w:ascii="Times New Roman" w:hAnsi="Times New Roman" w:cs="Times New Roman"/>
          <w:sz w:val="20"/>
          <w:szCs w:val="20"/>
        </w:rPr>
        <w:t xml:space="preserve"> A dash (-) means the variable was not reported by the study’s authors.</w:t>
      </w:r>
      <w:r w:rsidR="00ED2F10">
        <w:rPr>
          <w:rFonts w:ascii="Times New Roman" w:hAnsi="Times New Roman" w:cs="Times New Roman"/>
          <w:sz w:val="20"/>
          <w:szCs w:val="20"/>
        </w:rPr>
        <w:t xml:space="preserve"> </w:t>
      </w:r>
      <w:r>
        <w:rPr>
          <w:rFonts w:ascii="Times New Roman" w:hAnsi="Times New Roman" w:cs="Times New Roman"/>
          <w:sz w:val="20"/>
          <w:szCs w:val="20"/>
          <w:vertAlign w:val="superscript"/>
        </w:rPr>
        <w:t>a</w:t>
      </w:r>
      <w:r w:rsidR="002C5AA9">
        <w:rPr>
          <w:rFonts w:ascii="Times New Roman" w:hAnsi="Times New Roman" w:cs="Times New Roman"/>
          <w:sz w:val="20"/>
          <w:szCs w:val="20"/>
          <w:vertAlign w:val="superscript"/>
        </w:rPr>
        <w:t xml:space="preserve"> </w:t>
      </w:r>
      <w:r>
        <w:rPr>
          <w:rFonts w:ascii="Times New Roman" w:hAnsi="Times New Roman" w:cs="Times New Roman"/>
          <w:sz w:val="20"/>
          <w:szCs w:val="20"/>
        </w:rPr>
        <w:t>Special Education Plac</w:t>
      </w:r>
      <w:r w:rsidRPr="008D371A">
        <w:rPr>
          <w:rFonts w:ascii="Times New Roman" w:hAnsi="Times New Roman" w:cs="Times New Roman"/>
          <w:sz w:val="20"/>
          <w:szCs w:val="20"/>
        </w:rPr>
        <w:t>e</w:t>
      </w:r>
      <w:r>
        <w:rPr>
          <w:rFonts w:ascii="Times New Roman" w:hAnsi="Times New Roman" w:cs="Times New Roman"/>
          <w:sz w:val="20"/>
          <w:szCs w:val="20"/>
        </w:rPr>
        <w:t>ment: I = Inclusive, R = Resource Room, C = Self-Contained, S = Specialized School</w:t>
      </w:r>
      <w:r w:rsidR="00C857A1">
        <w:rPr>
          <w:rFonts w:ascii="Times New Roman" w:hAnsi="Times New Roman" w:cs="Times New Roman"/>
          <w:sz w:val="20"/>
          <w:szCs w:val="20"/>
        </w:rPr>
        <w:t xml:space="preserve">. </w:t>
      </w:r>
      <w:r>
        <w:rPr>
          <w:rFonts w:ascii="Times New Roman" w:hAnsi="Times New Roman" w:cs="Times New Roman"/>
          <w:sz w:val="20"/>
          <w:szCs w:val="20"/>
          <w:vertAlign w:val="superscript"/>
        </w:rPr>
        <w:t>b</w:t>
      </w:r>
      <w:r w:rsidR="002C5AA9">
        <w:rPr>
          <w:rFonts w:ascii="Times New Roman" w:hAnsi="Times New Roman" w:cs="Times New Roman"/>
          <w:sz w:val="20"/>
          <w:szCs w:val="20"/>
          <w:vertAlign w:val="superscript"/>
        </w:rPr>
        <w:t xml:space="preserve"> </w:t>
      </w:r>
      <w:r>
        <w:rPr>
          <w:rFonts w:ascii="Times New Roman" w:hAnsi="Times New Roman" w:cs="Times New Roman"/>
          <w:sz w:val="20"/>
          <w:szCs w:val="20"/>
        </w:rPr>
        <w:t>School Level: E = Elementary (K=5), M = Middle (6-8), H = High School (9-12)</w:t>
      </w:r>
      <w:r w:rsidR="00AE4568">
        <w:rPr>
          <w:rFonts w:ascii="Times New Roman" w:hAnsi="Times New Roman" w:cs="Times New Roman"/>
          <w:sz w:val="20"/>
          <w:szCs w:val="20"/>
        </w:rPr>
        <w:t xml:space="preserve">. </w:t>
      </w:r>
      <w:r>
        <w:rPr>
          <w:rFonts w:ascii="Times New Roman" w:hAnsi="Times New Roman" w:cs="Times New Roman"/>
          <w:sz w:val="20"/>
          <w:szCs w:val="20"/>
        </w:rPr>
        <w:t xml:space="preserve">All participant and setting variable data available at </w:t>
      </w:r>
      <w:hyperlink r:id="rId20" w:history="1">
        <w:r w:rsidRPr="00056AE1">
          <w:rPr>
            <w:rStyle w:val="Hyperlink"/>
            <w:rFonts w:ascii="Times New Roman" w:hAnsi="Times New Roman" w:cs="Times New Roman"/>
            <w:sz w:val="20"/>
            <w:szCs w:val="20"/>
          </w:rPr>
          <w:t>https://justman.fyi/PDonETinSPED-Review</w:t>
        </w:r>
      </w:hyperlink>
      <w:r w:rsidRPr="006503AD">
        <w:rPr>
          <w:rFonts w:ascii="Times New Roman" w:hAnsi="Times New Roman" w:cs="Times New Roman"/>
          <w:sz w:val="20"/>
          <w:szCs w:val="20"/>
        </w:rPr>
        <w:t>.</w:t>
      </w:r>
      <w:r w:rsidRPr="003C55AA">
        <w:rPr>
          <w:rFonts w:eastAsia="Calibri"/>
          <w:sz w:val="22"/>
          <w:szCs w:val="22"/>
        </w:rPr>
        <w:br w:type="page"/>
      </w:r>
    </w:p>
    <w:p w14:paraId="02F2EF4D" w14:textId="1037F67B" w:rsidR="00C21FA2" w:rsidRPr="006D014F" w:rsidRDefault="00C21FA2" w:rsidP="00572B2E">
      <w:pPr>
        <w:pStyle w:val="Heading2"/>
      </w:pPr>
      <w:r w:rsidRPr="006D014F">
        <w:lastRenderedPageBreak/>
        <w:t xml:space="preserve">Table </w:t>
      </w:r>
      <w:r w:rsidR="003E0239">
        <w:t>5</w:t>
      </w:r>
    </w:p>
    <w:p w14:paraId="3CD31698" w14:textId="77777777" w:rsidR="00C21FA2" w:rsidRPr="006D014F" w:rsidRDefault="00C21FA2" w:rsidP="006072C4">
      <w:pPr>
        <w:pStyle w:val="NoSpacing"/>
        <w:spacing w:line="480" w:lineRule="auto"/>
        <w:jc w:val="left"/>
      </w:pPr>
      <w:r w:rsidRPr="006D014F">
        <w:rPr>
          <w:rStyle w:val="Emphasis"/>
        </w:rPr>
        <w:t>Professional Development Delivery Format Utilized to Improve Implementation of Educational Technology by In-Service Special Educators</w:t>
      </w:r>
    </w:p>
    <w:tbl>
      <w:tblPr>
        <w:tblStyle w:val="APAReport"/>
        <w:tblW w:w="5000" w:type="pct"/>
        <w:tblLayout w:type="fixed"/>
        <w:tblLook w:val="04A0" w:firstRow="1" w:lastRow="0" w:firstColumn="1" w:lastColumn="0" w:noHBand="0" w:noVBand="1"/>
        <w:tblCaption w:val="Sample 5-column table"/>
      </w:tblPr>
      <w:tblGrid>
        <w:gridCol w:w="2523"/>
        <w:gridCol w:w="812"/>
        <w:gridCol w:w="1170"/>
        <w:gridCol w:w="846"/>
        <w:gridCol w:w="846"/>
        <w:gridCol w:w="846"/>
        <w:gridCol w:w="846"/>
        <w:gridCol w:w="846"/>
        <w:gridCol w:w="845"/>
        <w:gridCol w:w="845"/>
        <w:gridCol w:w="845"/>
        <w:gridCol w:w="845"/>
        <w:gridCol w:w="845"/>
      </w:tblGrid>
      <w:tr w:rsidR="00BB4804" w:rsidRPr="00775440" w14:paraId="024AD35D" w14:textId="77777777" w:rsidTr="003E0239">
        <w:trPr>
          <w:cnfStyle w:val="100000000000" w:firstRow="1" w:lastRow="0" w:firstColumn="0" w:lastColumn="0" w:oddVBand="0" w:evenVBand="0" w:oddHBand="0" w:evenHBand="0" w:firstRowFirstColumn="0" w:firstRowLastColumn="0" w:lastRowFirstColumn="0" w:lastRowLastColumn="0"/>
        </w:trPr>
        <w:tc>
          <w:tcPr>
            <w:tcW w:w="972" w:type="pct"/>
            <w:tcBorders>
              <w:right w:val="single" w:sz="12" w:space="0" w:color="auto"/>
            </w:tcBorders>
            <w:vAlign w:val="bottom"/>
          </w:tcPr>
          <w:p w14:paraId="1B5F080F" w14:textId="4DF7D490" w:rsidR="00C62D06" w:rsidRPr="00775440" w:rsidRDefault="00C62D06" w:rsidP="003E0239">
            <w:pPr>
              <w:pStyle w:val="NoSpacing"/>
              <w:spacing w:after="80"/>
              <w:rPr>
                <w:rFonts w:ascii="Times New Roman" w:hAnsi="Times New Roman" w:cs="Times New Roman"/>
              </w:rPr>
            </w:pPr>
            <w:r w:rsidRPr="00775440">
              <w:rPr>
                <w:rFonts w:ascii="Times New Roman" w:hAnsi="Times New Roman" w:cs="Times New Roman"/>
              </w:rPr>
              <w:t>Study</w:t>
            </w:r>
          </w:p>
        </w:tc>
        <w:tc>
          <w:tcPr>
            <w:tcW w:w="313" w:type="pct"/>
            <w:tcBorders>
              <w:left w:val="single" w:sz="12" w:space="0" w:color="auto"/>
              <w:right w:val="single" w:sz="12" w:space="0" w:color="auto"/>
            </w:tcBorders>
            <w:vAlign w:val="bottom"/>
          </w:tcPr>
          <w:p w14:paraId="091692DA" w14:textId="336C6469" w:rsidR="00C62D06" w:rsidRPr="00775440" w:rsidRDefault="00C62D06" w:rsidP="003E0239">
            <w:pPr>
              <w:pStyle w:val="NoSpacing"/>
              <w:spacing w:after="80"/>
              <w:rPr>
                <w:rFonts w:ascii="Times New Roman" w:hAnsi="Times New Roman" w:cs="Times New Roman"/>
                <w:vertAlign w:val="subscript"/>
              </w:rPr>
            </w:pPr>
            <w:r w:rsidRPr="00775440">
              <w:rPr>
                <w:rFonts w:ascii="Times New Roman" w:hAnsi="Times New Roman" w:cs="Times New Roman"/>
              </w:rPr>
              <w:t>Type</w:t>
            </w:r>
            <w:r w:rsidR="002C5AA9" w:rsidRPr="00775440">
              <w:rPr>
                <w:rFonts w:ascii="Times New Roman" w:hAnsi="Times New Roman" w:cs="Times New Roman"/>
              </w:rPr>
              <w:t xml:space="preserve"> </w:t>
            </w:r>
            <w:r w:rsidR="00C85CA8" w:rsidRPr="00775440">
              <w:rPr>
                <w:rFonts w:ascii="Times New Roman" w:hAnsi="Times New Roman" w:cs="Times New Roman"/>
                <w:vertAlign w:val="superscript"/>
              </w:rPr>
              <w:t>a</w:t>
            </w:r>
          </w:p>
        </w:tc>
        <w:tc>
          <w:tcPr>
            <w:tcW w:w="451" w:type="pct"/>
            <w:tcBorders>
              <w:left w:val="single" w:sz="12" w:space="0" w:color="auto"/>
              <w:right w:val="single" w:sz="12" w:space="0" w:color="auto"/>
            </w:tcBorders>
            <w:vAlign w:val="bottom"/>
          </w:tcPr>
          <w:p w14:paraId="420C6034" w14:textId="77777777" w:rsidR="00C62D06" w:rsidRPr="00775440" w:rsidRDefault="00C62D06" w:rsidP="003E0239">
            <w:pPr>
              <w:pStyle w:val="NoSpacing"/>
              <w:spacing w:after="80"/>
              <w:rPr>
                <w:rFonts w:ascii="Times New Roman" w:hAnsi="Times New Roman" w:cs="Times New Roman"/>
                <w:vertAlign w:val="subscript"/>
              </w:rPr>
            </w:pPr>
            <w:r w:rsidRPr="00775440">
              <w:rPr>
                <w:rFonts w:ascii="Times New Roman" w:hAnsi="Times New Roman" w:cs="Times New Roman"/>
              </w:rPr>
              <w:t>Participant Quantity</w:t>
            </w:r>
          </w:p>
        </w:tc>
        <w:tc>
          <w:tcPr>
            <w:tcW w:w="326" w:type="pct"/>
            <w:tcBorders>
              <w:left w:val="single" w:sz="12" w:space="0" w:color="auto"/>
              <w:right w:val="single" w:sz="12" w:space="0" w:color="auto"/>
            </w:tcBorders>
            <w:vAlign w:val="bottom"/>
          </w:tcPr>
          <w:p w14:paraId="6FD38EC4" w14:textId="6054D1EE" w:rsidR="00C62D06" w:rsidRPr="00775440" w:rsidRDefault="00C32097" w:rsidP="003E0239">
            <w:pPr>
              <w:pStyle w:val="NoSpacing"/>
              <w:spacing w:after="80"/>
              <w:rPr>
                <w:rFonts w:ascii="Times New Roman" w:hAnsi="Times New Roman" w:cs="Times New Roman"/>
                <w:vertAlign w:val="superscript"/>
              </w:rPr>
            </w:pPr>
            <w:r w:rsidRPr="00775440">
              <w:rPr>
                <w:rFonts w:ascii="Times New Roman" w:hAnsi="Times New Roman" w:cs="Times New Roman"/>
              </w:rPr>
              <w:t>CPM</w:t>
            </w:r>
            <w:r w:rsidR="002C5AA9" w:rsidRPr="00775440">
              <w:rPr>
                <w:rFonts w:ascii="Times New Roman" w:hAnsi="Times New Roman" w:cs="Times New Roman"/>
              </w:rPr>
              <w:t xml:space="preserve"> </w:t>
            </w:r>
            <w:r w:rsidR="00C85CA8" w:rsidRPr="00775440">
              <w:rPr>
                <w:rFonts w:ascii="Times New Roman" w:hAnsi="Times New Roman" w:cs="Times New Roman"/>
                <w:vertAlign w:val="superscript"/>
              </w:rPr>
              <w:t>b</w:t>
            </w:r>
          </w:p>
        </w:tc>
        <w:tc>
          <w:tcPr>
            <w:tcW w:w="326" w:type="pct"/>
            <w:tcBorders>
              <w:left w:val="single" w:sz="12" w:space="0" w:color="auto"/>
              <w:right w:val="single" w:sz="12" w:space="0" w:color="auto"/>
            </w:tcBorders>
            <w:vAlign w:val="bottom"/>
          </w:tcPr>
          <w:p w14:paraId="2218FA47" w14:textId="310683BC"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LM</w:t>
            </w:r>
            <w:r w:rsidR="002C5AA9" w:rsidRPr="00775440">
              <w:rPr>
                <w:rFonts w:ascii="Times New Roman" w:hAnsi="Times New Roman" w:cs="Times New Roman"/>
              </w:rPr>
              <w:t xml:space="preserve"> </w:t>
            </w:r>
            <w:r w:rsidR="00C85CA8" w:rsidRPr="00775440">
              <w:rPr>
                <w:rFonts w:ascii="Times New Roman" w:hAnsi="Times New Roman" w:cs="Times New Roman"/>
                <w:vertAlign w:val="superscript"/>
              </w:rPr>
              <w:t>c</w:t>
            </w:r>
          </w:p>
        </w:tc>
        <w:tc>
          <w:tcPr>
            <w:tcW w:w="326" w:type="pct"/>
            <w:tcBorders>
              <w:left w:val="single" w:sz="12" w:space="0" w:color="auto"/>
              <w:right w:val="single" w:sz="12" w:space="0" w:color="auto"/>
            </w:tcBorders>
            <w:vAlign w:val="bottom"/>
          </w:tcPr>
          <w:p w14:paraId="3346400C" w14:textId="61F888D4"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IP</w:t>
            </w:r>
            <w:r w:rsidR="002C5AA9" w:rsidRPr="00775440">
              <w:rPr>
                <w:rFonts w:ascii="Times New Roman" w:hAnsi="Times New Roman" w:cs="Times New Roman"/>
              </w:rPr>
              <w:t xml:space="preserve"> </w:t>
            </w:r>
            <w:r w:rsidR="00C85CA8" w:rsidRPr="00775440">
              <w:rPr>
                <w:rFonts w:ascii="Times New Roman" w:hAnsi="Times New Roman" w:cs="Times New Roman"/>
                <w:vertAlign w:val="superscript"/>
              </w:rPr>
              <w:t>d</w:t>
            </w:r>
          </w:p>
        </w:tc>
        <w:tc>
          <w:tcPr>
            <w:tcW w:w="326" w:type="pct"/>
            <w:tcBorders>
              <w:left w:val="single" w:sz="12" w:space="0" w:color="auto"/>
              <w:right w:val="single" w:sz="12" w:space="0" w:color="auto"/>
            </w:tcBorders>
            <w:vAlign w:val="bottom"/>
          </w:tcPr>
          <w:p w14:paraId="2913E66D" w14:textId="16A61C70"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SR</w:t>
            </w:r>
            <w:r w:rsidR="002C5AA9" w:rsidRPr="00775440">
              <w:rPr>
                <w:rFonts w:ascii="Times New Roman" w:hAnsi="Times New Roman" w:cs="Times New Roman"/>
              </w:rPr>
              <w:t xml:space="preserve"> </w:t>
            </w:r>
            <w:r w:rsidR="00C85CA8" w:rsidRPr="00775440">
              <w:rPr>
                <w:rFonts w:ascii="Times New Roman" w:hAnsi="Times New Roman" w:cs="Times New Roman"/>
                <w:vertAlign w:val="superscript"/>
              </w:rPr>
              <w:t>e</w:t>
            </w:r>
          </w:p>
        </w:tc>
        <w:tc>
          <w:tcPr>
            <w:tcW w:w="326" w:type="pct"/>
            <w:tcBorders>
              <w:left w:val="single" w:sz="12" w:space="0" w:color="auto"/>
              <w:right w:val="single" w:sz="12" w:space="0" w:color="auto"/>
            </w:tcBorders>
            <w:vAlign w:val="bottom"/>
          </w:tcPr>
          <w:p w14:paraId="7B7BA3CF" w14:textId="7D9DABFB"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PF</w:t>
            </w:r>
            <w:r w:rsidR="002C5AA9" w:rsidRPr="00775440">
              <w:rPr>
                <w:rFonts w:ascii="Times New Roman" w:hAnsi="Times New Roman" w:cs="Times New Roman"/>
              </w:rPr>
              <w:t xml:space="preserve"> </w:t>
            </w:r>
            <w:r w:rsidR="008C35A8" w:rsidRPr="00775440">
              <w:rPr>
                <w:rFonts w:ascii="Times New Roman" w:hAnsi="Times New Roman" w:cs="Times New Roman"/>
                <w:vertAlign w:val="superscript"/>
              </w:rPr>
              <w:t>f</w:t>
            </w:r>
          </w:p>
        </w:tc>
        <w:tc>
          <w:tcPr>
            <w:tcW w:w="326" w:type="pct"/>
            <w:tcBorders>
              <w:left w:val="single" w:sz="12" w:space="0" w:color="auto"/>
              <w:right w:val="single" w:sz="12" w:space="0" w:color="auto"/>
            </w:tcBorders>
            <w:vAlign w:val="bottom"/>
          </w:tcPr>
          <w:p w14:paraId="51482F97" w14:textId="24DBBE56"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WD</w:t>
            </w:r>
            <w:r w:rsidR="002C5AA9" w:rsidRPr="00775440">
              <w:rPr>
                <w:rFonts w:ascii="Times New Roman" w:hAnsi="Times New Roman" w:cs="Times New Roman"/>
              </w:rPr>
              <w:t xml:space="preserve"> </w:t>
            </w:r>
            <w:r w:rsidR="008C35A8" w:rsidRPr="00775440">
              <w:rPr>
                <w:rFonts w:ascii="Times New Roman" w:hAnsi="Times New Roman" w:cs="Times New Roman"/>
                <w:vertAlign w:val="superscript"/>
              </w:rPr>
              <w:t>g</w:t>
            </w:r>
          </w:p>
        </w:tc>
        <w:tc>
          <w:tcPr>
            <w:tcW w:w="326" w:type="pct"/>
            <w:tcBorders>
              <w:left w:val="single" w:sz="12" w:space="0" w:color="auto"/>
              <w:right w:val="single" w:sz="12" w:space="0" w:color="auto"/>
            </w:tcBorders>
            <w:vAlign w:val="bottom"/>
          </w:tcPr>
          <w:p w14:paraId="59568334" w14:textId="1D21B05A"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PSD</w:t>
            </w:r>
            <w:r w:rsidR="002C5AA9" w:rsidRPr="00775440">
              <w:rPr>
                <w:rFonts w:ascii="Times New Roman" w:hAnsi="Times New Roman" w:cs="Times New Roman"/>
              </w:rPr>
              <w:t xml:space="preserve"> </w:t>
            </w:r>
            <w:r w:rsidR="008C35A8" w:rsidRPr="00775440">
              <w:rPr>
                <w:rFonts w:ascii="Times New Roman" w:hAnsi="Times New Roman" w:cs="Times New Roman"/>
                <w:vertAlign w:val="superscript"/>
              </w:rPr>
              <w:t>h</w:t>
            </w:r>
          </w:p>
        </w:tc>
        <w:tc>
          <w:tcPr>
            <w:tcW w:w="326" w:type="pct"/>
            <w:tcBorders>
              <w:left w:val="single" w:sz="12" w:space="0" w:color="auto"/>
              <w:right w:val="single" w:sz="12" w:space="0" w:color="auto"/>
            </w:tcBorders>
            <w:vAlign w:val="bottom"/>
          </w:tcPr>
          <w:p w14:paraId="66F44971" w14:textId="30772EA2"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ISW</w:t>
            </w:r>
            <w:r w:rsidR="002C5AA9" w:rsidRPr="00775440">
              <w:rPr>
                <w:rFonts w:ascii="Times New Roman" w:hAnsi="Times New Roman" w:cs="Times New Roman"/>
              </w:rPr>
              <w:t xml:space="preserve"> </w:t>
            </w:r>
            <w:r w:rsidR="008C35A8" w:rsidRPr="00775440">
              <w:rPr>
                <w:rFonts w:ascii="Times New Roman" w:hAnsi="Times New Roman" w:cs="Times New Roman"/>
                <w:vertAlign w:val="superscript"/>
              </w:rPr>
              <w:t>i</w:t>
            </w:r>
          </w:p>
        </w:tc>
        <w:tc>
          <w:tcPr>
            <w:tcW w:w="326" w:type="pct"/>
            <w:tcBorders>
              <w:left w:val="single" w:sz="12" w:space="0" w:color="auto"/>
              <w:right w:val="single" w:sz="12" w:space="0" w:color="auto"/>
            </w:tcBorders>
            <w:vAlign w:val="bottom"/>
          </w:tcPr>
          <w:p w14:paraId="44B24EF0" w14:textId="6744D0B2"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PM</w:t>
            </w:r>
            <w:r w:rsidR="002C5AA9" w:rsidRPr="00775440">
              <w:rPr>
                <w:rFonts w:ascii="Times New Roman" w:hAnsi="Times New Roman" w:cs="Times New Roman"/>
              </w:rPr>
              <w:t xml:space="preserve"> </w:t>
            </w:r>
            <w:r w:rsidR="008C35A8" w:rsidRPr="00775440">
              <w:rPr>
                <w:rFonts w:ascii="Times New Roman" w:hAnsi="Times New Roman" w:cs="Times New Roman"/>
                <w:vertAlign w:val="superscript"/>
              </w:rPr>
              <w:t>j</w:t>
            </w:r>
          </w:p>
        </w:tc>
        <w:tc>
          <w:tcPr>
            <w:tcW w:w="326" w:type="pct"/>
            <w:tcBorders>
              <w:left w:val="single" w:sz="12" w:space="0" w:color="auto"/>
            </w:tcBorders>
            <w:vAlign w:val="bottom"/>
          </w:tcPr>
          <w:p w14:paraId="078B33B1" w14:textId="56072051" w:rsidR="00C62D06" w:rsidRPr="00775440" w:rsidRDefault="00D96E39" w:rsidP="003E0239">
            <w:pPr>
              <w:pStyle w:val="NoSpacing"/>
              <w:spacing w:after="80"/>
              <w:rPr>
                <w:rFonts w:ascii="Times New Roman" w:hAnsi="Times New Roman" w:cs="Times New Roman"/>
              </w:rPr>
            </w:pPr>
            <w:r w:rsidRPr="00775440">
              <w:rPr>
                <w:rFonts w:ascii="Times New Roman" w:hAnsi="Times New Roman" w:cs="Times New Roman"/>
              </w:rPr>
              <w:t>CP</w:t>
            </w:r>
            <w:r w:rsidR="002C5AA9" w:rsidRPr="00775440">
              <w:rPr>
                <w:rFonts w:ascii="Times New Roman" w:hAnsi="Times New Roman" w:cs="Times New Roman"/>
              </w:rPr>
              <w:t xml:space="preserve"> </w:t>
            </w:r>
            <w:r w:rsidR="008C35A8" w:rsidRPr="00775440">
              <w:rPr>
                <w:rFonts w:ascii="Times New Roman" w:hAnsi="Times New Roman" w:cs="Times New Roman"/>
                <w:vertAlign w:val="superscript"/>
              </w:rPr>
              <w:t>k</w:t>
            </w:r>
          </w:p>
        </w:tc>
      </w:tr>
      <w:tr w:rsidR="00BB4804" w:rsidRPr="00775440" w14:paraId="3373039F" w14:textId="77777777" w:rsidTr="003E0239">
        <w:tc>
          <w:tcPr>
            <w:tcW w:w="972" w:type="pct"/>
            <w:tcBorders>
              <w:right w:val="single" w:sz="12" w:space="0" w:color="auto"/>
            </w:tcBorders>
          </w:tcPr>
          <w:p w14:paraId="47BBD480" w14:textId="1D51E748"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Cain (2018)</w:t>
            </w:r>
          </w:p>
        </w:tc>
        <w:tc>
          <w:tcPr>
            <w:tcW w:w="313" w:type="pct"/>
            <w:tcBorders>
              <w:left w:val="single" w:sz="12" w:space="0" w:color="auto"/>
              <w:right w:val="single" w:sz="12" w:space="0" w:color="auto"/>
            </w:tcBorders>
          </w:tcPr>
          <w:p w14:paraId="0B9B43E5" w14:textId="27C4E61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5E88690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1</w:t>
            </w:r>
          </w:p>
        </w:tc>
        <w:tc>
          <w:tcPr>
            <w:tcW w:w="326" w:type="pct"/>
            <w:tcBorders>
              <w:left w:val="single" w:sz="12" w:space="0" w:color="auto"/>
              <w:right w:val="single" w:sz="12" w:space="0" w:color="auto"/>
            </w:tcBorders>
          </w:tcPr>
          <w:p w14:paraId="323140C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68E81F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41C7D4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3FEEE8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361078F2"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30FCAA9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829320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F721CB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7C3E229"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20C7FE49"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7DD45EDC" w14:textId="77777777" w:rsidTr="003E0239">
        <w:tc>
          <w:tcPr>
            <w:tcW w:w="972" w:type="pct"/>
            <w:tcBorders>
              <w:right w:val="single" w:sz="12" w:space="0" w:color="auto"/>
            </w:tcBorders>
          </w:tcPr>
          <w:p w14:paraId="60D05871" w14:textId="2455161A"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Ciampa (2017)</w:t>
            </w:r>
          </w:p>
        </w:tc>
        <w:tc>
          <w:tcPr>
            <w:tcW w:w="313" w:type="pct"/>
            <w:tcBorders>
              <w:left w:val="single" w:sz="12" w:space="0" w:color="auto"/>
              <w:right w:val="single" w:sz="12" w:space="0" w:color="auto"/>
            </w:tcBorders>
          </w:tcPr>
          <w:p w14:paraId="5E5EC114" w14:textId="0BD40BAB"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7421FFB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3</w:t>
            </w:r>
          </w:p>
        </w:tc>
        <w:tc>
          <w:tcPr>
            <w:tcW w:w="326" w:type="pct"/>
            <w:tcBorders>
              <w:left w:val="single" w:sz="12" w:space="0" w:color="auto"/>
              <w:right w:val="single" w:sz="12" w:space="0" w:color="auto"/>
            </w:tcBorders>
          </w:tcPr>
          <w:p w14:paraId="575B2AE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5F8AA91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5853C1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35EC6F9"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604140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58114A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40228C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1E3398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522C4B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41E15DB2"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05FFCE77" w14:textId="77777777" w:rsidTr="003E0239">
        <w:tc>
          <w:tcPr>
            <w:tcW w:w="972" w:type="pct"/>
            <w:tcBorders>
              <w:right w:val="single" w:sz="12" w:space="0" w:color="auto"/>
            </w:tcBorders>
          </w:tcPr>
          <w:p w14:paraId="5CFB9F79" w14:textId="6015526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Courduff (2011)</w:t>
            </w:r>
          </w:p>
        </w:tc>
        <w:tc>
          <w:tcPr>
            <w:tcW w:w="313" w:type="pct"/>
            <w:tcBorders>
              <w:left w:val="single" w:sz="12" w:space="0" w:color="auto"/>
              <w:right w:val="single" w:sz="12" w:space="0" w:color="auto"/>
            </w:tcBorders>
          </w:tcPr>
          <w:p w14:paraId="57481F06" w14:textId="33DDBF2B"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04DB01D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10</w:t>
            </w:r>
          </w:p>
        </w:tc>
        <w:tc>
          <w:tcPr>
            <w:tcW w:w="326" w:type="pct"/>
            <w:tcBorders>
              <w:left w:val="single" w:sz="12" w:space="0" w:color="auto"/>
              <w:right w:val="single" w:sz="12" w:space="0" w:color="auto"/>
            </w:tcBorders>
          </w:tcPr>
          <w:p w14:paraId="60E1AA8E"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C58FE8C"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D2A2F7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66B52E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E573E2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3F76142"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45B291E"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84565B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95D4859"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1AAD50C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27213258" w14:textId="77777777" w:rsidTr="003E0239">
        <w:tc>
          <w:tcPr>
            <w:tcW w:w="972" w:type="pct"/>
            <w:tcBorders>
              <w:right w:val="single" w:sz="12" w:space="0" w:color="auto"/>
            </w:tcBorders>
          </w:tcPr>
          <w:p w14:paraId="7844EB63" w14:textId="5221D4ED"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Du &amp; Lyublinskaya (2022)</w:t>
            </w:r>
          </w:p>
        </w:tc>
        <w:tc>
          <w:tcPr>
            <w:tcW w:w="313" w:type="pct"/>
            <w:tcBorders>
              <w:left w:val="single" w:sz="12" w:space="0" w:color="auto"/>
              <w:right w:val="single" w:sz="12" w:space="0" w:color="auto"/>
            </w:tcBorders>
          </w:tcPr>
          <w:p w14:paraId="41A0503F" w14:textId="3C21D068"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3E33506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3</w:t>
            </w:r>
          </w:p>
        </w:tc>
        <w:tc>
          <w:tcPr>
            <w:tcW w:w="326" w:type="pct"/>
            <w:tcBorders>
              <w:left w:val="single" w:sz="12" w:space="0" w:color="auto"/>
              <w:right w:val="single" w:sz="12" w:space="0" w:color="auto"/>
            </w:tcBorders>
          </w:tcPr>
          <w:p w14:paraId="519FB51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6F30600"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43A1540"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34E1DA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6D37A1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A006F1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DB2CD4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F79E34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211D7F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5196F42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149F1E3F" w14:textId="77777777" w:rsidTr="003E0239">
        <w:tc>
          <w:tcPr>
            <w:tcW w:w="972" w:type="pct"/>
            <w:tcBorders>
              <w:right w:val="single" w:sz="12" w:space="0" w:color="auto"/>
            </w:tcBorders>
          </w:tcPr>
          <w:p w14:paraId="3916F53C" w14:textId="34B31586" w:rsidR="00C62D06" w:rsidRPr="00775440" w:rsidRDefault="00E0396B" w:rsidP="003E0239">
            <w:pPr>
              <w:pStyle w:val="NoSpacing"/>
              <w:spacing w:afterLines="80" w:after="192"/>
              <w:rPr>
                <w:rFonts w:ascii="Times New Roman" w:hAnsi="Times New Roman" w:cs="Times New Roman"/>
              </w:rPr>
            </w:pPr>
            <w:r w:rsidRPr="003E2A61">
              <w:rPr>
                <w:rFonts w:eastAsia="Aptos"/>
                <w:kern w:val="2"/>
                <w14:ligatures w14:val="standardContextual"/>
              </w:rPr>
              <w:t>Gersten &amp; Kelly</w:t>
            </w:r>
            <w:r w:rsidRPr="00775440">
              <w:rPr>
                <w:rFonts w:ascii="Times New Roman" w:hAnsi="Times New Roman" w:cs="Times New Roman"/>
              </w:rPr>
              <w:t xml:space="preserve"> </w:t>
            </w:r>
            <w:r w:rsidR="00917AFB" w:rsidRPr="00775440">
              <w:rPr>
                <w:rFonts w:ascii="Times New Roman" w:hAnsi="Times New Roman" w:cs="Times New Roman"/>
              </w:rPr>
              <w:t>(1992)</w:t>
            </w:r>
          </w:p>
        </w:tc>
        <w:tc>
          <w:tcPr>
            <w:tcW w:w="313" w:type="pct"/>
            <w:tcBorders>
              <w:left w:val="single" w:sz="12" w:space="0" w:color="auto"/>
              <w:right w:val="single" w:sz="12" w:space="0" w:color="auto"/>
            </w:tcBorders>
          </w:tcPr>
          <w:p w14:paraId="3F9519F5" w14:textId="07072B5B"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5611AA7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4</w:t>
            </w:r>
          </w:p>
        </w:tc>
        <w:tc>
          <w:tcPr>
            <w:tcW w:w="326" w:type="pct"/>
            <w:tcBorders>
              <w:left w:val="single" w:sz="12" w:space="0" w:color="auto"/>
              <w:right w:val="single" w:sz="12" w:space="0" w:color="auto"/>
            </w:tcBorders>
          </w:tcPr>
          <w:p w14:paraId="7EC6591E"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A55E0B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B99A57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06DA4CB"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957BC1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5D69420"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3FD343B"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3C977C9"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30552F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4E4DAAD2"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552AF907" w14:textId="77777777" w:rsidTr="003E0239">
        <w:tc>
          <w:tcPr>
            <w:tcW w:w="972" w:type="pct"/>
            <w:tcBorders>
              <w:right w:val="single" w:sz="12" w:space="0" w:color="auto"/>
            </w:tcBorders>
          </w:tcPr>
          <w:p w14:paraId="413ED2E1" w14:textId="1BF1390A" w:rsidR="00C62D06" w:rsidRPr="00775440" w:rsidRDefault="00917AFB" w:rsidP="003E0239">
            <w:pPr>
              <w:pStyle w:val="NoSpacing"/>
              <w:spacing w:afterLines="80" w:after="192"/>
              <w:rPr>
                <w:rFonts w:ascii="Times New Roman" w:hAnsi="Times New Roman" w:cs="Times New Roman"/>
              </w:rPr>
            </w:pPr>
            <w:r w:rsidRPr="00775440">
              <w:rPr>
                <w:rFonts w:ascii="Times New Roman" w:hAnsi="Times New Roman" w:cs="Times New Roman"/>
              </w:rPr>
              <w:t>Hollins (2017)</w:t>
            </w:r>
          </w:p>
        </w:tc>
        <w:tc>
          <w:tcPr>
            <w:tcW w:w="313" w:type="pct"/>
            <w:tcBorders>
              <w:left w:val="single" w:sz="12" w:space="0" w:color="auto"/>
              <w:right w:val="single" w:sz="12" w:space="0" w:color="auto"/>
            </w:tcBorders>
          </w:tcPr>
          <w:p w14:paraId="37581634" w14:textId="40CADAF5"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49588F0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3</w:t>
            </w:r>
          </w:p>
        </w:tc>
        <w:tc>
          <w:tcPr>
            <w:tcW w:w="326" w:type="pct"/>
            <w:tcBorders>
              <w:left w:val="single" w:sz="12" w:space="0" w:color="auto"/>
              <w:right w:val="single" w:sz="12" w:space="0" w:color="auto"/>
            </w:tcBorders>
          </w:tcPr>
          <w:p w14:paraId="6573B39E"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2BE977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4C51BEE"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8CD245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0F733BC"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68873E2"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BD294F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8A9CF4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581A0E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090663A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6AA867C9" w14:textId="77777777" w:rsidTr="003E0239">
        <w:tc>
          <w:tcPr>
            <w:tcW w:w="972" w:type="pct"/>
            <w:tcBorders>
              <w:right w:val="single" w:sz="12" w:space="0" w:color="auto"/>
            </w:tcBorders>
          </w:tcPr>
          <w:p w14:paraId="2BF98512" w14:textId="6C7DB128" w:rsidR="00C62D06" w:rsidRPr="00775440" w:rsidRDefault="00917AFB" w:rsidP="003E0239">
            <w:pPr>
              <w:pStyle w:val="NoSpacing"/>
              <w:spacing w:afterLines="80" w:after="192"/>
              <w:rPr>
                <w:rFonts w:ascii="Times New Roman" w:hAnsi="Times New Roman" w:cs="Times New Roman"/>
              </w:rPr>
            </w:pPr>
            <w:r w:rsidRPr="00775440">
              <w:rPr>
                <w:rFonts w:ascii="Times New Roman" w:hAnsi="Times New Roman" w:cs="Times New Roman"/>
              </w:rPr>
              <w:t>So</w:t>
            </w:r>
            <w:r w:rsidR="00BB4804" w:rsidRPr="00775440">
              <w:rPr>
                <w:rFonts w:ascii="Times New Roman" w:hAnsi="Times New Roman" w:cs="Times New Roman"/>
              </w:rPr>
              <w:t xml:space="preserve"> et al.</w:t>
            </w:r>
            <w:r w:rsidRPr="00775440">
              <w:rPr>
                <w:rFonts w:ascii="Times New Roman" w:hAnsi="Times New Roman" w:cs="Times New Roman"/>
              </w:rPr>
              <w:t xml:space="preserve"> (2021)</w:t>
            </w:r>
          </w:p>
        </w:tc>
        <w:tc>
          <w:tcPr>
            <w:tcW w:w="313" w:type="pct"/>
            <w:tcBorders>
              <w:left w:val="single" w:sz="12" w:space="0" w:color="auto"/>
              <w:right w:val="single" w:sz="12" w:space="0" w:color="auto"/>
            </w:tcBorders>
          </w:tcPr>
          <w:p w14:paraId="6CA0742E" w14:textId="222CCE78"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C</w:t>
            </w:r>
          </w:p>
        </w:tc>
        <w:tc>
          <w:tcPr>
            <w:tcW w:w="451" w:type="pct"/>
            <w:tcBorders>
              <w:left w:val="single" w:sz="12" w:space="0" w:color="auto"/>
              <w:right w:val="single" w:sz="12" w:space="0" w:color="auto"/>
            </w:tcBorders>
          </w:tcPr>
          <w:p w14:paraId="6296057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4</w:t>
            </w:r>
          </w:p>
        </w:tc>
        <w:tc>
          <w:tcPr>
            <w:tcW w:w="326" w:type="pct"/>
            <w:tcBorders>
              <w:left w:val="single" w:sz="12" w:space="0" w:color="auto"/>
              <w:right w:val="single" w:sz="12" w:space="0" w:color="auto"/>
            </w:tcBorders>
          </w:tcPr>
          <w:p w14:paraId="305C90B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A282780"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18038BC"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F0D58F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E1ADF4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77F5C2E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2A42CC4B"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5FA431E2"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391AA6BC"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4E7B48E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745A4F5E" w14:textId="77777777" w:rsidTr="003E0239">
        <w:tc>
          <w:tcPr>
            <w:tcW w:w="972" w:type="pct"/>
            <w:tcBorders>
              <w:right w:val="single" w:sz="12" w:space="0" w:color="auto"/>
            </w:tcBorders>
          </w:tcPr>
          <w:p w14:paraId="366A5202" w14:textId="4820ADD5" w:rsidR="00C62D06" w:rsidRPr="00775440" w:rsidRDefault="00917AFB" w:rsidP="003E0239">
            <w:pPr>
              <w:pStyle w:val="NoSpacing"/>
              <w:spacing w:afterLines="80" w:after="192"/>
              <w:rPr>
                <w:rFonts w:ascii="Times New Roman" w:hAnsi="Times New Roman" w:cs="Times New Roman"/>
              </w:rPr>
            </w:pPr>
            <w:r w:rsidRPr="00775440">
              <w:rPr>
                <w:rFonts w:ascii="Times New Roman" w:hAnsi="Times New Roman" w:cs="Times New Roman"/>
              </w:rPr>
              <w:t>Byrd-Jones (2011)</w:t>
            </w:r>
          </w:p>
        </w:tc>
        <w:tc>
          <w:tcPr>
            <w:tcW w:w="313" w:type="pct"/>
            <w:tcBorders>
              <w:left w:val="single" w:sz="12" w:space="0" w:color="auto"/>
              <w:right w:val="single" w:sz="12" w:space="0" w:color="auto"/>
            </w:tcBorders>
          </w:tcPr>
          <w:p w14:paraId="59A267C1" w14:textId="1E72D53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G</w:t>
            </w:r>
          </w:p>
        </w:tc>
        <w:tc>
          <w:tcPr>
            <w:tcW w:w="451" w:type="pct"/>
            <w:tcBorders>
              <w:left w:val="single" w:sz="12" w:space="0" w:color="auto"/>
              <w:right w:val="single" w:sz="12" w:space="0" w:color="auto"/>
            </w:tcBorders>
          </w:tcPr>
          <w:p w14:paraId="467339DE"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232</w:t>
            </w:r>
          </w:p>
        </w:tc>
        <w:tc>
          <w:tcPr>
            <w:tcW w:w="326" w:type="pct"/>
            <w:tcBorders>
              <w:left w:val="single" w:sz="12" w:space="0" w:color="auto"/>
              <w:right w:val="single" w:sz="12" w:space="0" w:color="auto"/>
            </w:tcBorders>
          </w:tcPr>
          <w:p w14:paraId="4D7FE2EC"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3E31597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6411880"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A558ED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F5490C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3A42627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FC7DF4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51CD3FD1"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A16286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4F185AA5"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47E2E288" w14:textId="77777777" w:rsidTr="003E0239">
        <w:tc>
          <w:tcPr>
            <w:tcW w:w="972" w:type="pct"/>
            <w:tcBorders>
              <w:right w:val="single" w:sz="12" w:space="0" w:color="auto"/>
            </w:tcBorders>
          </w:tcPr>
          <w:p w14:paraId="46D43065" w14:textId="55897ADA" w:rsidR="00C62D06" w:rsidRPr="00775440" w:rsidRDefault="00917AFB" w:rsidP="003E0239">
            <w:pPr>
              <w:pStyle w:val="NoSpacing"/>
              <w:spacing w:afterLines="80" w:after="192"/>
              <w:rPr>
                <w:rFonts w:ascii="Times New Roman" w:hAnsi="Times New Roman" w:cs="Times New Roman"/>
              </w:rPr>
            </w:pPr>
            <w:r w:rsidRPr="00775440">
              <w:rPr>
                <w:rFonts w:ascii="Times New Roman" w:hAnsi="Times New Roman" w:cs="Times New Roman"/>
              </w:rPr>
              <w:t>Du (2022)</w:t>
            </w:r>
          </w:p>
        </w:tc>
        <w:tc>
          <w:tcPr>
            <w:tcW w:w="313" w:type="pct"/>
            <w:tcBorders>
              <w:left w:val="single" w:sz="12" w:space="0" w:color="auto"/>
              <w:right w:val="single" w:sz="12" w:space="0" w:color="auto"/>
            </w:tcBorders>
          </w:tcPr>
          <w:p w14:paraId="47A3CAC6" w14:textId="27D8E4F4"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G</w:t>
            </w:r>
          </w:p>
        </w:tc>
        <w:tc>
          <w:tcPr>
            <w:tcW w:w="451" w:type="pct"/>
            <w:tcBorders>
              <w:left w:val="single" w:sz="12" w:space="0" w:color="auto"/>
              <w:right w:val="single" w:sz="12" w:space="0" w:color="auto"/>
            </w:tcBorders>
          </w:tcPr>
          <w:p w14:paraId="71A6F0E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20</w:t>
            </w:r>
          </w:p>
        </w:tc>
        <w:tc>
          <w:tcPr>
            <w:tcW w:w="326" w:type="pct"/>
            <w:tcBorders>
              <w:left w:val="single" w:sz="12" w:space="0" w:color="auto"/>
              <w:right w:val="single" w:sz="12" w:space="0" w:color="auto"/>
            </w:tcBorders>
          </w:tcPr>
          <w:p w14:paraId="2C74F27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1D866E3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93EE32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C9E6C8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34B714F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EAC4D53" w14:textId="320F9D40"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631F642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465342A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right w:val="single" w:sz="12" w:space="0" w:color="auto"/>
            </w:tcBorders>
          </w:tcPr>
          <w:p w14:paraId="0330E9D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tcBorders>
          </w:tcPr>
          <w:p w14:paraId="0688C46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04978B6F" w14:textId="77777777" w:rsidTr="003E0239">
        <w:tc>
          <w:tcPr>
            <w:tcW w:w="972" w:type="pct"/>
            <w:tcBorders>
              <w:bottom w:val="nil"/>
              <w:right w:val="single" w:sz="12" w:space="0" w:color="auto"/>
            </w:tcBorders>
          </w:tcPr>
          <w:p w14:paraId="2DA9A701" w14:textId="5DCBC82E" w:rsidR="00C62D06" w:rsidRPr="00775440" w:rsidRDefault="00917AFB" w:rsidP="003E0239">
            <w:pPr>
              <w:pStyle w:val="NoSpacing"/>
              <w:spacing w:afterLines="80" w:after="192"/>
              <w:rPr>
                <w:rFonts w:ascii="Times New Roman" w:hAnsi="Times New Roman" w:cs="Times New Roman"/>
              </w:rPr>
            </w:pPr>
            <w:r w:rsidRPr="00775440">
              <w:rPr>
                <w:rFonts w:ascii="Times New Roman" w:hAnsi="Times New Roman" w:cs="Times New Roman"/>
              </w:rPr>
              <w:t>Schmidt (2019)</w:t>
            </w:r>
          </w:p>
        </w:tc>
        <w:tc>
          <w:tcPr>
            <w:tcW w:w="313" w:type="pct"/>
            <w:tcBorders>
              <w:left w:val="single" w:sz="12" w:space="0" w:color="auto"/>
              <w:bottom w:val="nil"/>
              <w:right w:val="single" w:sz="12" w:space="0" w:color="auto"/>
            </w:tcBorders>
          </w:tcPr>
          <w:p w14:paraId="661960B4" w14:textId="55515EAB"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G</w:t>
            </w:r>
          </w:p>
        </w:tc>
        <w:tc>
          <w:tcPr>
            <w:tcW w:w="451" w:type="pct"/>
            <w:tcBorders>
              <w:left w:val="single" w:sz="12" w:space="0" w:color="auto"/>
              <w:bottom w:val="nil"/>
              <w:right w:val="single" w:sz="12" w:space="0" w:color="auto"/>
            </w:tcBorders>
          </w:tcPr>
          <w:p w14:paraId="769FC1C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219</w:t>
            </w:r>
          </w:p>
        </w:tc>
        <w:tc>
          <w:tcPr>
            <w:tcW w:w="326" w:type="pct"/>
            <w:tcBorders>
              <w:left w:val="single" w:sz="12" w:space="0" w:color="auto"/>
              <w:bottom w:val="nil"/>
              <w:right w:val="single" w:sz="12" w:space="0" w:color="auto"/>
            </w:tcBorders>
          </w:tcPr>
          <w:p w14:paraId="69D9570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51EC13FC"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68C79B1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4C95947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216CEA7A"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6A6C16F8"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4FBA215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329D694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right w:val="single" w:sz="12" w:space="0" w:color="auto"/>
            </w:tcBorders>
          </w:tcPr>
          <w:p w14:paraId="5BDDD4B6"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left w:val="single" w:sz="12" w:space="0" w:color="auto"/>
              <w:bottom w:val="nil"/>
            </w:tcBorders>
          </w:tcPr>
          <w:p w14:paraId="6836423A"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r w:rsidR="00BB4804" w:rsidRPr="00775440" w14:paraId="0B9B55FB" w14:textId="77777777" w:rsidTr="003E0239">
        <w:tc>
          <w:tcPr>
            <w:tcW w:w="972" w:type="pct"/>
            <w:tcBorders>
              <w:top w:val="nil"/>
              <w:bottom w:val="single" w:sz="18" w:space="0" w:color="auto"/>
              <w:right w:val="single" w:sz="12" w:space="0" w:color="auto"/>
            </w:tcBorders>
          </w:tcPr>
          <w:p w14:paraId="0F80A4BF" w14:textId="5F612EBB" w:rsidR="00C62D06" w:rsidRPr="00775440" w:rsidRDefault="00917AFB" w:rsidP="003E0239">
            <w:pPr>
              <w:pStyle w:val="NoSpacing"/>
              <w:spacing w:afterLines="80" w:after="192"/>
              <w:rPr>
                <w:rFonts w:ascii="Times New Roman" w:hAnsi="Times New Roman" w:cs="Times New Roman"/>
              </w:rPr>
            </w:pPr>
            <w:r w:rsidRPr="00775440">
              <w:rPr>
                <w:rFonts w:ascii="Times New Roman" w:hAnsi="Times New Roman" w:cs="Times New Roman"/>
              </w:rPr>
              <w:t>Weiss (2016)</w:t>
            </w:r>
          </w:p>
        </w:tc>
        <w:tc>
          <w:tcPr>
            <w:tcW w:w="313" w:type="pct"/>
            <w:tcBorders>
              <w:top w:val="nil"/>
              <w:left w:val="single" w:sz="12" w:space="0" w:color="auto"/>
              <w:bottom w:val="single" w:sz="18" w:space="0" w:color="auto"/>
              <w:right w:val="single" w:sz="12" w:space="0" w:color="auto"/>
            </w:tcBorders>
          </w:tcPr>
          <w:p w14:paraId="44CCC511" w14:textId="6078A5E1"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G</w:t>
            </w:r>
          </w:p>
        </w:tc>
        <w:tc>
          <w:tcPr>
            <w:tcW w:w="451" w:type="pct"/>
            <w:tcBorders>
              <w:top w:val="nil"/>
              <w:left w:val="single" w:sz="12" w:space="0" w:color="auto"/>
              <w:bottom w:val="single" w:sz="18" w:space="0" w:color="auto"/>
              <w:right w:val="single" w:sz="12" w:space="0" w:color="auto"/>
            </w:tcBorders>
          </w:tcPr>
          <w:p w14:paraId="7EB0E94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37</w:t>
            </w:r>
          </w:p>
        </w:tc>
        <w:tc>
          <w:tcPr>
            <w:tcW w:w="326" w:type="pct"/>
            <w:tcBorders>
              <w:top w:val="nil"/>
              <w:left w:val="single" w:sz="12" w:space="0" w:color="auto"/>
              <w:bottom w:val="single" w:sz="18" w:space="0" w:color="auto"/>
              <w:right w:val="single" w:sz="12" w:space="0" w:color="auto"/>
            </w:tcBorders>
          </w:tcPr>
          <w:p w14:paraId="63F31DCA"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00CAC11A"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7D5EB970"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35FD0A54"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47821B7F"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6565AEF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08F59BF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516DE81D"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right w:val="single" w:sz="12" w:space="0" w:color="auto"/>
            </w:tcBorders>
          </w:tcPr>
          <w:p w14:paraId="006E8B03"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c>
          <w:tcPr>
            <w:tcW w:w="326" w:type="pct"/>
            <w:tcBorders>
              <w:top w:val="nil"/>
              <w:left w:val="single" w:sz="12" w:space="0" w:color="auto"/>
              <w:bottom w:val="single" w:sz="18" w:space="0" w:color="auto"/>
            </w:tcBorders>
          </w:tcPr>
          <w:p w14:paraId="2BD7A9D7" w14:textId="77777777" w:rsidR="00C62D06" w:rsidRPr="00775440" w:rsidRDefault="00C62D06" w:rsidP="003E0239">
            <w:pPr>
              <w:pStyle w:val="NoSpacing"/>
              <w:spacing w:afterLines="80" w:after="192"/>
              <w:rPr>
                <w:rFonts w:ascii="Times New Roman" w:hAnsi="Times New Roman" w:cs="Times New Roman"/>
              </w:rPr>
            </w:pPr>
            <w:r w:rsidRPr="00775440">
              <w:rPr>
                <w:rFonts w:ascii="Times New Roman" w:hAnsi="Times New Roman" w:cs="Times New Roman"/>
              </w:rPr>
              <w:t>□</w:t>
            </w:r>
          </w:p>
        </w:tc>
      </w:tr>
    </w:tbl>
    <w:p w14:paraId="2242AB2E" w14:textId="3979239E" w:rsidR="00D96E39" w:rsidRPr="00775440" w:rsidRDefault="00C21FA2" w:rsidP="00581152">
      <w:pPr>
        <w:pStyle w:val="TableFigure"/>
        <w:spacing w:before="0"/>
        <w:rPr>
          <w:rFonts w:ascii="Times New Roman" w:hAnsi="Times New Roman" w:cs="Times New Roman"/>
        </w:rPr>
      </w:pPr>
      <w:r w:rsidRPr="00775440">
        <w:rPr>
          <w:rStyle w:val="Emphasis"/>
          <w:rFonts w:ascii="Times New Roman" w:hAnsi="Times New Roman" w:cs="Times New Roman"/>
          <w:sz w:val="20"/>
          <w:szCs w:val="20"/>
        </w:rPr>
        <w:t>Note</w:t>
      </w:r>
      <w:r w:rsidRPr="00775440">
        <w:rPr>
          <w:rFonts w:ascii="Times New Roman" w:hAnsi="Times New Roman" w:cs="Times New Roman"/>
          <w:sz w:val="20"/>
          <w:szCs w:val="20"/>
        </w:rPr>
        <w:t>:</w:t>
      </w:r>
      <w:r w:rsidR="00A30BA9" w:rsidRPr="00775440">
        <w:rPr>
          <w:rFonts w:ascii="Times New Roman" w:hAnsi="Times New Roman" w:cs="Times New Roman"/>
          <w:sz w:val="20"/>
          <w:szCs w:val="20"/>
        </w:rPr>
        <w:t xml:space="preserve"> Total case stud</w:t>
      </w:r>
      <w:r w:rsidR="00C64C33" w:rsidRPr="00775440">
        <w:rPr>
          <w:rFonts w:ascii="Times New Roman" w:hAnsi="Times New Roman" w:cs="Times New Roman"/>
          <w:sz w:val="20"/>
          <w:szCs w:val="20"/>
        </w:rPr>
        <w:t>y participants</w:t>
      </w:r>
      <w:r w:rsidR="00A30BA9" w:rsidRPr="00775440">
        <w:rPr>
          <w:rFonts w:ascii="Times New Roman" w:hAnsi="Times New Roman" w:cs="Times New Roman"/>
          <w:sz w:val="20"/>
          <w:szCs w:val="20"/>
        </w:rPr>
        <w:t xml:space="preserve"> (n = 28).</w:t>
      </w:r>
      <w:r w:rsidR="00CA6859" w:rsidRPr="00775440">
        <w:rPr>
          <w:rFonts w:ascii="Times New Roman" w:hAnsi="Times New Roman" w:cs="Times New Roman"/>
          <w:sz w:val="20"/>
          <w:szCs w:val="20"/>
        </w:rPr>
        <w:t xml:space="preserve"> Total group design participants (n=508).</w:t>
      </w:r>
      <w:r w:rsidR="00A30BA9" w:rsidRPr="00775440">
        <w:rPr>
          <w:rFonts w:ascii="Times New Roman" w:hAnsi="Times New Roman" w:cs="Times New Roman"/>
          <w:sz w:val="20"/>
          <w:szCs w:val="20"/>
        </w:rPr>
        <w:t xml:space="preserve"> ■ = Used; □ = Not Used</w:t>
      </w:r>
      <w:r w:rsidR="00530DC7"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a</w:t>
      </w:r>
      <w:r w:rsidR="002C5AA9" w:rsidRPr="00775440">
        <w:rPr>
          <w:rFonts w:ascii="Times New Roman" w:hAnsi="Times New Roman" w:cs="Times New Roman"/>
          <w:sz w:val="20"/>
          <w:szCs w:val="20"/>
          <w:vertAlign w:val="superscript"/>
        </w:rPr>
        <w:t xml:space="preserve"> </w:t>
      </w:r>
      <w:r w:rsidRPr="00775440">
        <w:rPr>
          <w:rFonts w:ascii="Times New Roman" w:hAnsi="Times New Roman" w:cs="Times New Roman"/>
          <w:sz w:val="20"/>
          <w:szCs w:val="20"/>
        </w:rPr>
        <w:t>C = Case study</w:t>
      </w:r>
      <w:r w:rsidR="00C857A1" w:rsidRPr="00775440">
        <w:rPr>
          <w:rFonts w:ascii="Times New Roman" w:hAnsi="Times New Roman" w:cs="Times New Roman"/>
          <w:sz w:val="20"/>
          <w:szCs w:val="20"/>
        </w:rPr>
        <w:t xml:space="preserve">, </w:t>
      </w:r>
      <w:r w:rsidRPr="00775440">
        <w:rPr>
          <w:rFonts w:ascii="Times New Roman" w:hAnsi="Times New Roman" w:cs="Times New Roman"/>
          <w:sz w:val="20"/>
          <w:szCs w:val="20"/>
        </w:rPr>
        <w:t>G = Group design</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b</w:t>
      </w:r>
      <w:r w:rsidR="002C5AA9"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CPM</w:t>
      </w:r>
      <w:r w:rsidR="00C64C33" w:rsidRPr="00775440">
        <w:rPr>
          <w:rFonts w:ascii="Times New Roman" w:hAnsi="Times New Roman" w:cs="Times New Roman"/>
          <w:sz w:val="20"/>
          <w:szCs w:val="20"/>
        </w:rPr>
        <w:t xml:space="preserve"> =</w:t>
      </w:r>
      <w:r w:rsidR="00D96E39" w:rsidRPr="00775440">
        <w:rPr>
          <w:rFonts w:ascii="Times New Roman" w:hAnsi="Times New Roman" w:cs="Times New Roman"/>
          <w:sz w:val="20"/>
          <w:szCs w:val="20"/>
        </w:rPr>
        <w:t xml:space="preserve"> Collaborative Progress Monitoring</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c</w:t>
      </w:r>
      <w:r w:rsidR="002C5AA9"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LM = Live Model</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d</w:t>
      </w:r>
      <w:r w:rsidR="002C5AA9"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IP = Independent Practice</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e</w:t>
      </w:r>
      <w:r w:rsidR="00775440"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SR = Self Reflection</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f</w:t>
      </w:r>
      <w:r w:rsidR="00775440"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PF = Performance Feedback</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g</w:t>
      </w:r>
      <w:r w:rsidR="00775440"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WD = Written Directions</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h</w:t>
      </w:r>
      <w:r w:rsidR="00775440"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PSD = Problem Solving Discussions</w:t>
      </w:r>
      <w:r w:rsidR="00DC3DF6">
        <w:rPr>
          <w:rFonts w:ascii="Times New Roman" w:hAnsi="Times New Roman" w:cs="Times New Roman"/>
          <w:sz w:val="20"/>
          <w:szCs w:val="20"/>
        </w:rPr>
        <w:t>.</w:t>
      </w:r>
      <w:r w:rsidR="00530DC7" w:rsidRPr="00775440">
        <w:rPr>
          <w:rFonts w:ascii="Times New Roman" w:hAnsi="Times New Roman" w:cs="Times New Roman"/>
          <w:sz w:val="20"/>
          <w:szCs w:val="20"/>
        </w:rPr>
        <w:t xml:space="preserve"> </w:t>
      </w:r>
      <w:r w:rsidR="00775440" w:rsidRPr="00775440">
        <w:rPr>
          <w:rFonts w:ascii="Times New Roman" w:hAnsi="Times New Roman" w:cs="Times New Roman"/>
          <w:sz w:val="20"/>
          <w:szCs w:val="20"/>
          <w:vertAlign w:val="superscript"/>
        </w:rPr>
        <w:t xml:space="preserve">i </w:t>
      </w:r>
      <w:r w:rsidR="00D96E39" w:rsidRPr="00775440">
        <w:rPr>
          <w:rFonts w:ascii="Times New Roman" w:hAnsi="Times New Roman" w:cs="Times New Roman"/>
          <w:sz w:val="20"/>
          <w:szCs w:val="20"/>
        </w:rPr>
        <w:t>ISW = In-Service Workshops</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j</w:t>
      </w:r>
      <w:r w:rsidR="00775440"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PM = Peer Mentoring</w:t>
      </w:r>
      <w:r w:rsidR="00DC3DF6">
        <w:rPr>
          <w:rFonts w:ascii="Times New Roman" w:hAnsi="Times New Roman" w:cs="Times New Roman"/>
          <w:sz w:val="20"/>
          <w:szCs w:val="20"/>
        </w:rPr>
        <w:t>.</w:t>
      </w:r>
      <w:r w:rsidR="00C857A1" w:rsidRPr="00775440">
        <w:rPr>
          <w:rFonts w:ascii="Times New Roman" w:hAnsi="Times New Roman" w:cs="Times New Roman"/>
          <w:sz w:val="20"/>
          <w:szCs w:val="20"/>
        </w:rPr>
        <w:t xml:space="preserve"> </w:t>
      </w:r>
      <w:r w:rsidR="008C35A8" w:rsidRPr="00775440">
        <w:rPr>
          <w:rFonts w:ascii="Times New Roman" w:hAnsi="Times New Roman" w:cs="Times New Roman"/>
          <w:sz w:val="20"/>
          <w:szCs w:val="20"/>
          <w:vertAlign w:val="superscript"/>
        </w:rPr>
        <w:t>k</w:t>
      </w:r>
      <w:r w:rsidR="00775440" w:rsidRPr="00775440">
        <w:rPr>
          <w:rFonts w:ascii="Times New Roman" w:hAnsi="Times New Roman" w:cs="Times New Roman"/>
          <w:sz w:val="20"/>
          <w:szCs w:val="20"/>
          <w:vertAlign w:val="superscript"/>
        </w:rPr>
        <w:t xml:space="preserve"> </w:t>
      </w:r>
      <w:r w:rsidR="00D96E39" w:rsidRPr="00775440">
        <w:rPr>
          <w:rFonts w:ascii="Times New Roman" w:hAnsi="Times New Roman" w:cs="Times New Roman"/>
          <w:sz w:val="20"/>
          <w:szCs w:val="20"/>
        </w:rPr>
        <w:t>CP = Community of Practice</w:t>
      </w:r>
      <w:r w:rsidR="00530DC7" w:rsidRPr="00775440">
        <w:rPr>
          <w:rFonts w:ascii="Times New Roman" w:hAnsi="Times New Roman" w:cs="Times New Roman"/>
          <w:sz w:val="20"/>
          <w:szCs w:val="20"/>
        </w:rPr>
        <w:t>.</w:t>
      </w:r>
    </w:p>
    <w:p w14:paraId="21C730C6" w14:textId="77777777" w:rsidR="00C32097" w:rsidRPr="006D014F" w:rsidRDefault="00C32097" w:rsidP="00806EA4">
      <w:pPr>
        <w:pStyle w:val="NoSpacing"/>
        <w:jc w:val="left"/>
      </w:pPr>
    </w:p>
    <w:p w14:paraId="2AF6D724" w14:textId="204AC39A" w:rsidR="00C32097" w:rsidRPr="006D014F" w:rsidRDefault="00C32097" w:rsidP="006F0954">
      <w:pPr>
        <w:pStyle w:val="TableFigure"/>
        <w:spacing w:before="0"/>
        <w:rPr>
          <w:rFonts w:ascii="Times New Roman" w:hAnsi="Times New Roman" w:cs="Times New Roman"/>
          <w:sz w:val="20"/>
          <w:szCs w:val="20"/>
        </w:rPr>
        <w:sectPr w:rsidR="00C32097" w:rsidRPr="006D014F" w:rsidSect="00D76AE2">
          <w:footnotePr>
            <w:pos w:val="beneathText"/>
          </w:footnotePr>
          <w:pgSz w:w="15840" w:h="12240" w:orient="landscape" w:code="1"/>
          <w:pgMar w:top="1440" w:right="1440" w:bottom="1440" w:left="1440" w:header="720" w:footer="720" w:gutter="0"/>
          <w:cols w:space="720"/>
          <w:titlePg/>
          <w:docGrid w:linePitch="360"/>
        </w:sectPr>
      </w:pPr>
    </w:p>
    <w:p w14:paraId="453FAC8E" w14:textId="05F121FB" w:rsidR="003E0239" w:rsidRPr="00F646D8" w:rsidRDefault="00F646D8" w:rsidP="00F646D8">
      <w:pPr>
        <w:pStyle w:val="Heading2"/>
      </w:pPr>
      <w:r w:rsidRPr="00F646D8">
        <w:lastRenderedPageBreak/>
        <w:t>Figure 1</w:t>
      </w:r>
    </w:p>
    <w:p w14:paraId="5838DD83" w14:textId="1A4ADE52" w:rsidR="007E5C19" w:rsidRPr="003E0239" w:rsidRDefault="007E5C19" w:rsidP="003E0239">
      <w:pPr>
        <w:pStyle w:val="CaptionCallout"/>
        <w:spacing w:line="240" w:lineRule="auto"/>
        <w:rPr>
          <w:rFonts w:ascii="Times New Roman" w:hAnsi="Times New Roman" w:cs="Times New Roman"/>
          <w:b w:val="0"/>
          <w:bCs/>
          <w:i/>
          <w:iCs/>
        </w:rPr>
      </w:pPr>
      <w:r w:rsidRPr="003E0239">
        <w:rPr>
          <w:rFonts w:ascii="Times New Roman" w:hAnsi="Times New Roman" w:cs="Times New Roman"/>
          <w:b w:val="0"/>
          <w:bCs/>
          <w:i/>
          <w:iCs/>
        </w:rPr>
        <w:t>PRISMA Diagram</w:t>
      </w:r>
    </w:p>
    <w:p w14:paraId="0C0A852F" w14:textId="5C684D3A" w:rsidR="00A10E2E" w:rsidRDefault="00855E3D" w:rsidP="007E5C19">
      <w:pPr>
        <w:pStyle w:val="CaptionCallout"/>
        <w:spacing w:line="240" w:lineRule="auto"/>
        <w:rPr>
          <w:rFonts w:ascii="Times New Roman" w:hAnsi="Times New Roman" w:cs="Times New Roman"/>
        </w:rPr>
      </w:pPr>
      <w:r>
        <w:rPr>
          <w:rFonts w:ascii="Times New Roman" w:hAnsi="Times New Roman" w:cs="Times New Roman"/>
          <w:noProof/>
        </w:rPr>
        <w:drawing>
          <wp:inline distT="0" distB="0" distL="0" distR="0" wp14:anchorId="286788DB" wp14:editId="27B5309C">
            <wp:extent cx="8150379" cy="5066695"/>
            <wp:effectExtent l="0" t="0" r="3175" b="635"/>
            <wp:docPr id="7322443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244384" name="Picture 1"/>
                    <pic:cNvPicPr/>
                  </pic:nvPicPr>
                  <pic:blipFill>
                    <a:blip r:embed="rId21">
                      <a:extLst>
                        <a:ext uri="{28A0092B-C50C-407E-A947-70E740481C1C}">
                          <a14:useLocalDpi xmlns:a14="http://schemas.microsoft.com/office/drawing/2010/main" val="0"/>
                        </a:ext>
                      </a:extLst>
                    </a:blip>
                    <a:srcRect l="4758" r="4758"/>
                    <a:stretch>
                      <a:fillRect/>
                    </a:stretch>
                  </pic:blipFill>
                  <pic:spPr bwMode="auto">
                    <a:xfrm>
                      <a:off x="0" y="0"/>
                      <a:ext cx="8150379" cy="5066695"/>
                    </a:xfrm>
                    <a:prstGeom prst="rect">
                      <a:avLst/>
                    </a:prstGeom>
                    <a:ln>
                      <a:noFill/>
                    </a:ln>
                    <a:extLst>
                      <a:ext uri="{53640926-AAD7-44D8-BBD7-CCE9431645EC}">
                        <a14:shadowObscured xmlns:a14="http://schemas.microsoft.com/office/drawing/2010/main"/>
                      </a:ext>
                    </a:extLst>
                  </pic:spPr>
                </pic:pic>
              </a:graphicData>
            </a:graphic>
          </wp:inline>
        </w:drawing>
      </w:r>
    </w:p>
    <w:p w14:paraId="00B11F15" w14:textId="3E20A87E" w:rsidR="00C21FA2" w:rsidRDefault="00A22AE3" w:rsidP="003E0239">
      <w:pPr>
        <w:spacing w:line="240" w:lineRule="auto"/>
        <w:rPr>
          <w:rFonts w:eastAsia="Calibri"/>
          <w:i/>
          <w:iCs/>
          <w:color w:val="000000"/>
          <w:sz w:val="20"/>
          <w:szCs w:val="20"/>
        </w:rPr>
      </w:pPr>
      <w:bookmarkStart w:id="22" w:name="_5tuf083ep12b" w:colFirst="0" w:colLast="0"/>
      <w:bookmarkEnd w:id="22"/>
      <w:r w:rsidRPr="00991121">
        <w:rPr>
          <w:rFonts w:eastAsia="Calibri"/>
          <w:i/>
          <w:iCs/>
          <w:color w:val="000000"/>
          <w:sz w:val="20"/>
          <w:szCs w:val="20"/>
          <w:lang w:val="en-US"/>
        </w:rPr>
        <w:t>Note</w:t>
      </w:r>
      <w:r w:rsidRPr="00991121">
        <w:rPr>
          <w:rFonts w:eastAsia="Calibri"/>
          <w:color w:val="000000"/>
          <w:sz w:val="20"/>
          <w:szCs w:val="20"/>
          <w:lang w:val="en-US"/>
        </w:rPr>
        <w:t>.</w:t>
      </w:r>
      <w:r w:rsidR="00766548" w:rsidRPr="00991121">
        <w:rPr>
          <w:rFonts w:eastAsia="Calibri"/>
          <w:color w:val="000000"/>
          <w:sz w:val="20"/>
          <w:szCs w:val="20"/>
          <w:lang w:val="en-US"/>
        </w:rPr>
        <w:t xml:space="preserve"> </w:t>
      </w:r>
      <w:r w:rsidR="00020B8B" w:rsidRPr="00991121">
        <w:rPr>
          <w:rFonts w:eastAsia="Calibri"/>
          <w:color w:val="000000"/>
          <w:sz w:val="20"/>
          <w:szCs w:val="20"/>
          <w:lang w:val="en-US"/>
        </w:rPr>
        <w:t>PRISMA diagram adopted from (</w:t>
      </w:r>
      <w:r w:rsidR="002D22A5" w:rsidRPr="00991121">
        <w:rPr>
          <w:rFonts w:eastAsia="Calibri"/>
          <w:color w:val="000000"/>
          <w:sz w:val="20"/>
          <w:szCs w:val="20"/>
        </w:rPr>
        <w:t>Page et al., 2021) and recreated using Canva</w:t>
      </w:r>
      <w:r w:rsidR="00766548" w:rsidRPr="00991121">
        <w:rPr>
          <w:rFonts w:eastAsia="Calibri"/>
          <w:color w:val="000000"/>
          <w:sz w:val="20"/>
          <w:szCs w:val="20"/>
        </w:rPr>
        <w:t xml:space="preserve"> to show additional assessment</w:t>
      </w:r>
      <w:r w:rsidR="002D22A5" w:rsidRPr="00991121">
        <w:rPr>
          <w:rFonts w:eastAsia="Calibri"/>
          <w:color w:val="000000"/>
          <w:sz w:val="20"/>
          <w:szCs w:val="20"/>
        </w:rPr>
        <w:t>.</w:t>
      </w:r>
      <w:r w:rsidRPr="00991121">
        <w:rPr>
          <w:rFonts w:eastAsia="Calibri"/>
          <w:color w:val="000000"/>
          <w:sz w:val="20"/>
          <w:szCs w:val="20"/>
        </w:rPr>
        <w:t xml:space="preserve"> </w:t>
      </w:r>
      <w:r w:rsidR="00256441" w:rsidRPr="00991121">
        <w:rPr>
          <w:rFonts w:eastAsia="Calibri"/>
          <w:color w:val="000000"/>
          <w:sz w:val="20"/>
          <w:szCs w:val="20"/>
        </w:rPr>
        <w:t>Full diagram available at</w:t>
      </w:r>
      <w:r w:rsidR="00991121" w:rsidRPr="00991121">
        <w:rPr>
          <w:sz w:val="20"/>
          <w:szCs w:val="20"/>
        </w:rPr>
        <w:t xml:space="preserve"> </w:t>
      </w:r>
      <w:hyperlink r:id="rId22" w:history="1">
        <w:r w:rsidR="00991121" w:rsidRPr="00991121">
          <w:rPr>
            <w:rStyle w:val="Hyperlink"/>
            <w:sz w:val="20"/>
            <w:szCs w:val="20"/>
          </w:rPr>
          <w:t>https://justman.fyi/techPDprisma</w:t>
        </w:r>
      </w:hyperlink>
      <w:r w:rsidR="00991121">
        <w:rPr>
          <w:sz w:val="20"/>
          <w:szCs w:val="20"/>
        </w:rPr>
        <w:t>.</w:t>
      </w:r>
      <w:r w:rsidR="00991121" w:rsidRPr="00991121">
        <w:rPr>
          <w:sz w:val="20"/>
          <w:szCs w:val="20"/>
        </w:rPr>
        <w:t xml:space="preserve"> </w:t>
      </w:r>
      <w:r w:rsidR="00C21FA2">
        <w:rPr>
          <w:rFonts w:eastAsia="Calibri"/>
          <w:i/>
          <w:iCs/>
          <w:color w:val="000000"/>
          <w:sz w:val="20"/>
          <w:szCs w:val="20"/>
        </w:rPr>
        <w:br w:type="page"/>
      </w:r>
    </w:p>
    <w:p w14:paraId="0DE9C5D7" w14:textId="77777777" w:rsidR="00A22F37" w:rsidRPr="00A22F37" w:rsidRDefault="0020011F" w:rsidP="00F646D8">
      <w:pPr>
        <w:pStyle w:val="Heading2"/>
      </w:pPr>
      <w:r w:rsidRPr="00A22F37">
        <w:lastRenderedPageBreak/>
        <w:t>Figure 2</w:t>
      </w:r>
    </w:p>
    <w:p w14:paraId="352AB87A" w14:textId="77777777" w:rsidR="0020011F" w:rsidRDefault="0020011F" w:rsidP="003E0239">
      <w:pPr>
        <w:spacing w:line="480" w:lineRule="auto"/>
        <w:rPr>
          <w:i/>
          <w:iCs/>
          <w:sz w:val="20"/>
          <w:szCs w:val="20"/>
        </w:rPr>
      </w:pPr>
      <w:r w:rsidRPr="00A22F37">
        <w:rPr>
          <w:i/>
          <w:iCs/>
          <w:sz w:val="20"/>
          <w:szCs w:val="20"/>
        </w:rPr>
        <w:t>Educational Technology Topics Covered by Professional Development for In-Service Special Educators</w:t>
      </w:r>
    </w:p>
    <w:p w14:paraId="215B7067" w14:textId="6ECFBD83" w:rsidR="00A22F37" w:rsidRDefault="003E0239" w:rsidP="0020011F">
      <w:pPr>
        <w:rPr>
          <w:i/>
          <w:iCs/>
          <w:sz w:val="20"/>
          <w:szCs w:val="20"/>
        </w:rPr>
      </w:pPr>
      <w:r>
        <w:rPr>
          <w:i/>
          <w:iCs/>
          <w:noProof/>
          <w:sz w:val="20"/>
          <w:szCs w:val="20"/>
        </w:rPr>
        <w:drawing>
          <wp:anchor distT="0" distB="0" distL="114300" distR="114300" simplePos="0" relativeHeight="251658240" behindDoc="0" locked="0" layoutInCell="1" allowOverlap="1" wp14:anchorId="32A64E17" wp14:editId="50005FDE">
            <wp:simplePos x="0" y="0"/>
            <wp:positionH relativeFrom="column">
              <wp:posOffset>0</wp:posOffset>
            </wp:positionH>
            <wp:positionV relativeFrom="paragraph">
              <wp:posOffset>-635</wp:posOffset>
            </wp:positionV>
            <wp:extent cx="8229600" cy="5365115"/>
            <wp:effectExtent l="0" t="0" r="0" b="0"/>
            <wp:wrapNone/>
            <wp:docPr id="762880909" name="Picture 2" descr="A graph of a ba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80909" name="Picture 2" descr="A graph of a bar chart&#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8229600" cy="5365115"/>
                    </a:xfrm>
                    <a:prstGeom prst="rect">
                      <a:avLst/>
                    </a:prstGeom>
                  </pic:spPr>
                </pic:pic>
              </a:graphicData>
            </a:graphic>
          </wp:anchor>
        </w:drawing>
      </w:r>
    </w:p>
    <w:p w14:paraId="11AA5913" w14:textId="10110820" w:rsidR="00A22F37" w:rsidRPr="00A22F37" w:rsidRDefault="00A22F37" w:rsidP="0020011F">
      <w:pPr>
        <w:rPr>
          <w:i/>
          <w:iCs/>
          <w:sz w:val="20"/>
          <w:szCs w:val="20"/>
        </w:rPr>
        <w:sectPr w:rsidR="00A22F37" w:rsidRPr="00A22F37" w:rsidSect="0020011F">
          <w:pgSz w:w="15840" w:h="12240" w:orient="landscape"/>
          <w:pgMar w:top="1440" w:right="1440" w:bottom="1440" w:left="1440" w:header="720" w:footer="720" w:gutter="0"/>
          <w:cols w:space="720"/>
          <w:docGrid w:linePitch="326"/>
        </w:sectPr>
      </w:pPr>
    </w:p>
    <w:p w14:paraId="6DA7787D" w14:textId="205E9207" w:rsidR="007B05DF" w:rsidRPr="003C55AA" w:rsidRDefault="00AF5288" w:rsidP="00A16ACD">
      <w:pPr>
        <w:pStyle w:val="Heading1"/>
      </w:pPr>
      <w:r w:rsidRPr="00761738">
        <w:lastRenderedPageBreak/>
        <w:t>References</w:t>
      </w:r>
    </w:p>
    <w:p w14:paraId="0924810D" w14:textId="66A94FAE" w:rsidR="00125813" w:rsidRDefault="00125813" w:rsidP="00D76AE2">
      <w:pPr>
        <w:spacing w:line="480" w:lineRule="auto"/>
        <w:ind w:left="720" w:hanging="720"/>
      </w:pPr>
      <w:r w:rsidRPr="00125813">
        <w:t>*Denotes a study included in this systematic review.</w:t>
      </w:r>
    </w:p>
    <w:p w14:paraId="46A8FA6A" w14:textId="77777777" w:rsidR="0064705E" w:rsidRPr="0064705E" w:rsidRDefault="000A2BF2" w:rsidP="0064705E">
      <w:pPr>
        <w:pStyle w:val="Bibliography"/>
      </w:pPr>
      <w:r>
        <w:fldChar w:fldCharType="begin"/>
      </w:r>
      <w:r w:rsidR="0064705E">
        <w:instrText xml:space="preserve"> ADDIN ZOTERO_BIBL {"uncited":[],"omitted":[],"custom":[[["http://zotero.org/users/15409160/items/REL2TDIA"],"*Byrd-Jones, S. L. (2011). {\\i{}The use of educational technology integration by special education teachers in rural schools in South Carolina} (1312419834; ED537286) [Ed.D., University of South Carolina]. ERIC. https://www.proquest.com/docview/915123953/abstract/9A0195467D304CE5PQ/1"],[["http://zotero.org/users/15409160/items/EQ8NFZWN"],"*Cain, T. (2018). {\\i{}A case study on best practices of technology integration within instruction} (2155995253; ED588600) [Ed.D., Northcentral University]. ERIC. https://www.proquest.com/docview/2101642611/abstract/C217C82D1DCE47B5PQ/1"],[["http://zotero.org/users/15409160/items/48MIIPS9"],"*Courduff, J. L. (2011). {\\i{}Technology integration in the resource specialist environment} (1140139295; ED534877) [Ph.D., Walden University]. ERIC. https://www.proquest.com/docview/907104754/abstract/71BEA1EB7D294231PQ/1"],[["http://zotero.org/users/15409160/items/HGGRFQN5"],"*Hollins, K. G. (2017). {\\i{}Assistive technology, disability, and access: Transforming thinking and practice through inquiry-based professional development} (1906272624) [Ed.D., Teachers College, Columbia University]. ProQuest Dissertations &amp; Theses Global; Publicly Available Content Database. https://www.proquest.com/docview/1906272624/abstract/7EDDF6EEA66F4FAFPQ/1"],[["http://zotero.org/users/15409160/items/LQCEGGVS"],"*Du, X. (2022). Professional development for virtual environment: Designing assistive-technology infused inquiry-based learning experience for online teaching. {\\i{}Journal of Online Learning Research}, {\\i{}8}(3), 425\\uc0\\u8211{}446. ERIC. https://eric.ed.gov/?id=EJ1372630"],[["http://zotero.org/users/15409160/items/EUGN6SFM"],"*Weiss, M. P., Evmenova, A. S., Kennedy, M. J., &amp; Duke, J. M. (2016). Creating content acquisition podcasts (caps) for vocabulary: The intersection of content, pedagogy, and technology. {\\i{}Journal of Special Education Technology}, {\\i{}31}(4), 228\\uc0\\u8211{}235. https://doi.org/10.1177/0162643416673916"],[["http://zotero.org/users/15409160/items/JXKSPEDX"],"*Schmidt, M. M., Lin, M.-F. G., Paek, S., MacSuga-Gage, A., &amp; Gage, N. A. (2017). Implementing project SIED: Special education teachers\\uc0\\u8217{} perceptions of a simplified technology decision-making process for app identification and evaluation. {\\i{}Journal of Special Education Technology}, {\\i{}32}(1), 12\\uc0\\u8211{}22. ERIC. https://doi.org/10.1177/0162643416681160"],[["http://zotero.org/users/15409160/items/BH388AEU"],"*So, W. W. M., He, Q., Cheng, I. N. Y., Lee, T. T. H., &amp; Li, W. C. (2021). Teachers\\uc0\\u8217{} professional development with peer coaching to support students with intellectual disabilities in STEM learning. {\\i{}Journal of Educational Technology &amp; Society}, {\\i{}24}(4), 86\\uc0\\u8211{}98. APA PsycInfo\\uc0\\u174{}. https://www.proquest.com/docview/2583395670/abstract/54C39E56D7EC4A93PQ/1"],[["http://zotero.org/users/15409160/items/9LP2UI7Y"],"*Ciampa, K. (2017). Building bridges between technology and content literacy in special education: Lessons learned from special educators\\uc0\\u8217{} use of integrated technology and perceived benefits for students. {\\i{}Literacy Research and Instruction}, {\\i{}56}(2), 85\\uc0\\u8211{}113. ERIC. https://doi.org/10.1080/19388071.2017.1280863"],[["http://zotero.org/users/15409160/items/IYWVRB8X"],"*Du, X., &amp; Lyublinskaya, I. (2022). Designing professional development for special education teachers: Effects on assistive technology competency in developing inquiry-based student experiences. {\\i{}Journal of Digital Learning in Teacher Education}, {\\i{}38}(4), 199\\uc0\\u8211{}210. ERIC. https://doi.org/10.1080/21532974.2022.2113938"],[["http://zotero.org/users/15409160/items/D9WR9CM3"],"*Gersten, R., &amp; Kelly, B. (1992). Coaching secondary special education teachers in implementation of an innovative videodisc mathematics curriculum. {\\i{}Remedial and Special Education (RASE)}, {\\i{}13}(4), 40\\uc0\\u8211{}51. ERIC. https://doi.org/10.1177/074193259201300411"]]} CSL_BIBLIOGRAPHY </w:instrText>
      </w:r>
      <w:r>
        <w:fldChar w:fldCharType="separate"/>
      </w:r>
      <w:r w:rsidR="0064705E" w:rsidRPr="0064705E">
        <w:t xml:space="preserve">Alharbi, S. A. (2018). </w:t>
      </w:r>
      <w:r w:rsidR="0064705E" w:rsidRPr="0064705E">
        <w:rPr>
          <w:i/>
          <w:iCs/>
        </w:rPr>
        <w:t>Special education teachers’ knowledge and use of assistive technology for inclusive classrooms in Saudi Arabia</w:t>
      </w:r>
      <w:r w:rsidR="0064705E" w:rsidRPr="0064705E">
        <w:t xml:space="preserve"> (2108008033; 2018-40525-018) [Ph.D., Saint Louis University]. APA PsycInfo®. https://www.proquest.com/docview/2070503070/abstract/5E8E7FC75F7744F1PQ/1</w:t>
      </w:r>
    </w:p>
    <w:p w14:paraId="5B9B910B" w14:textId="77777777" w:rsidR="0064705E" w:rsidRPr="0064705E" w:rsidRDefault="0064705E" w:rsidP="0064705E">
      <w:pPr>
        <w:pStyle w:val="Bibliography"/>
      </w:pPr>
      <w:r w:rsidRPr="0064705E">
        <w:t xml:space="preserve">Alkahtani, K. D. F. (2013). Teachers’ knowledge and use of assistive technology for students with special educational needs. </w:t>
      </w:r>
      <w:r w:rsidRPr="0064705E">
        <w:rPr>
          <w:i/>
          <w:iCs/>
        </w:rPr>
        <w:t>Journal of Studies in Education</w:t>
      </w:r>
      <w:r w:rsidRPr="0064705E">
        <w:t xml:space="preserve">, </w:t>
      </w:r>
      <w:r w:rsidRPr="0064705E">
        <w:rPr>
          <w:i/>
          <w:iCs/>
        </w:rPr>
        <w:t>3</w:t>
      </w:r>
      <w:r w:rsidRPr="0064705E">
        <w:t>(2), 65–86. https://doi.org/10.5296/jse.v3i2.3424</w:t>
      </w:r>
    </w:p>
    <w:p w14:paraId="7A183958" w14:textId="77777777" w:rsidR="0064705E" w:rsidRPr="0064705E" w:rsidRDefault="0064705E" w:rsidP="0064705E">
      <w:pPr>
        <w:pStyle w:val="Bibliography"/>
      </w:pPr>
      <w:r w:rsidRPr="0064705E">
        <w:t xml:space="preserve">Anderson, S. E., &amp; Putman, R. S. (2020). Special education teachers’ experience, confidence, beliefs, and knowledge about integrating technology. </w:t>
      </w:r>
      <w:r w:rsidRPr="0064705E">
        <w:rPr>
          <w:i/>
          <w:iCs/>
        </w:rPr>
        <w:t>Journal of Special Education Technology</w:t>
      </w:r>
      <w:r w:rsidRPr="0064705E">
        <w:t xml:space="preserve">, </w:t>
      </w:r>
      <w:r w:rsidRPr="0064705E">
        <w:rPr>
          <w:i/>
          <w:iCs/>
        </w:rPr>
        <w:t>35</w:t>
      </w:r>
      <w:r w:rsidRPr="0064705E">
        <w:t>(1), 37–50. https://doi.org/10.1177/0162643419836409</w:t>
      </w:r>
    </w:p>
    <w:p w14:paraId="0E5CE9D2" w14:textId="77777777" w:rsidR="0064705E" w:rsidRPr="0064705E" w:rsidRDefault="0064705E" w:rsidP="0064705E">
      <w:pPr>
        <w:pStyle w:val="Bibliography"/>
      </w:pPr>
      <w:r w:rsidRPr="0064705E">
        <w:t xml:space="preserve">Anderson, S. E., &amp; Putman, R. S. (2023). Elementary special education teachers’ thinking while planning and implementing technology-integrated lessons. </w:t>
      </w:r>
      <w:r w:rsidRPr="0064705E">
        <w:rPr>
          <w:i/>
          <w:iCs/>
        </w:rPr>
        <w:t>Education and Information Technologies</w:t>
      </w:r>
      <w:r w:rsidRPr="0064705E">
        <w:t xml:space="preserve">, </w:t>
      </w:r>
      <w:r w:rsidRPr="0064705E">
        <w:rPr>
          <w:i/>
          <w:iCs/>
        </w:rPr>
        <w:t>28</w:t>
      </w:r>
      <w:r w:rsidRPr="0064705E">
        <w:t>(8), 9459–9481. https://doi.org/10.1007/s10639-022-11358-0</w:t>
      </w:r>
    </w:p>
    <w:p w14:paraId="1D82D2B7" w14:textId="77777777" w:rsidR="0064705E" w:rsidRPr="0064705E" w:rsidRDefault="0064705E" w:rsidP="0064705E">
      <w:pPr>
        <w:pStyle w:val="Bibliography"/>
      </w:pPr>
      <w:r w:rsidRPr="0064705E">
        <w:t xml:space="preserve">Association for Educational Communications and Technology. (2023). </w:t>
      </w:r>
      <w:r w:rsidRPr="0064705E">
        <w:rPr>
          <w:i/>
          <w:iCs/>
        </w:rPr>
        <w:t>AECT definition</w:t>
      </w:r>
      <w:r w:rsidRPr="0064705E">
        <w:t>. https://www.aect.org/aect/about/aect-definition</w:t>
      </w:r>
    </w:p>
    <w:p w14:paraId="3EDA7D83" w14:textId="77777777" w:rsidR="0064705E" w:rsidRPr="0064705E" w:rsidRDefault="0064705E" w:rsidP="0064705E">
      <w:pPr>
        <w:pStyle w:val="Bibliography"/>
      </w:pPr>
      <w:r w:rsidRPr="0064705E">
        <w:t xml:space="preserve">Atanga, C., Jones, B. A., Krueger, L. E., &amp; Lu, S. (2020). Teachers of students with learning disabilities: Assistive technology knowledge, perceptions, interests, and barriers. </w:t>
      </w:r>
      <w:r w:rsidRPr="0064705E">
        <w:rPr>
          <w:i/>
          <w:iCs/>
        </w:rPr>
        <w:t>Journal of Special Education Technology</w:t>
      </w:r>
      <w:r w:rsidRPr="0064705E">
        <w:t xml:space="preserve">, </w:t>
      </w:r>
      <w:r w:rsidRPr="0064705E">
        <w:rPr>
          <w:i/>
          <w:iCs/>
        </w:rPr>
        <w:t>35</w:t>
      </w:r>
      <w:r w:rsidRPr="0064705E">
        <w:t>(4), 236–248. https://doi.org/10.1177/0162643419864858</w:t>
      </w:r>
    </w:p>
    <w:p w14:paraId="5F0DEBEC" w14:textId="77777777" w:rsidR="0064705E" w:rsidRPr="0064705E" w:rsidRDefault="0064705E" w:rsidP="0064705E">
      <w:pPr>
        <w:pStyle w:val="Bibliography"/>
      </w:pPr>
      <w:r w:rsidRPr="0064705E">
        <w:lastRenderedPageBreak/>
        <w:t xml:space="preserve">Ault, M. J., Bausch, M. E., &amp; McLaren, E. M. (2013). Assistive technology service delivery in rural school districts. </w:t>
      </w:r>
      <w:r w:rsidRPr="0064705E">
        <w:rPr>
          <w:i/>
          <w:iCs/>
        </w:rPr>
        <w:t>Rural Special Education Quarterly</w:t>
      </w:r>
      <w:r w:rsidRPr="0064705E">
        <w:t xml:space="preserve">, </w:t>
      </w:r>
      <w:r w:rsidRPr="0064705E">
        <w:rPr>
          <w:i/>
          <w:iCs/>
        </w:rPr>
        <w:t>32</w:t>
      </w:r>
      <w:r w:rsidRPr="0064705E">
        <w:t>(2), 15–22. https://doi.org/10.1177/875687051303200204</w:t>
      </w:r>
    </w:p>
    <w:p w14:paraId="342094B4" w14:textId="77777777" w:rsidR="0064705E" w:rsidRPr="0064705E" w:rsidRDefault="0064705E" w:rsidP="0064705E">
      <w:pPr>
        <w:pStyle w:val="Bibliography"/>
      </w:pPr>
      <w:r w:rsidRPr="0064705E">
        <w:t xml:space="preserve">Avalos, B. (2011). Teacher professional development in teaching and teacher education over ten years. </w:t>
      </w:r>
      <w:r w:rsidRPr="0064705E">
        <w:rPr>
          <w:i/>
          <w:iCs/>
        </w:rPr>
        <w:t>Teaching and Teacher Education</w:t>
      </w:r>
      <w:r w:rsidRPr="0064705E">
        <w:t xml:space="preserve">, </w:t>
      </w:r>
      <w:r w:rsidRPr="0064705E">
        <w:rPr>
          <w:i/>
          <w:iCs/>
        </w:rPr>
        <w:t>27</w:t>
      </w:r>
      <w:r w:rsidRPr="0064705E">
        <w:t>(1), 10–20. https://doi.org/10.1016/j.tate.2010.08.007</w:t>
      </w:r>
    </w:p>
    <w:p w14:paraId="60F57A4E" w14:textId="77777777" w:rsidR="0064705E" w:rsidRPr="0064705E" w:rsidRDefault="0064705E" w:rsidP="0064705E">
      <w:pPr>
        <w:pStyle w:val="Bibliography"/>
      </w:pPr>
      <w:r w:rsidRPr="0064705E">
        <w:t xml:space="preserve">Bausch, M. E., Ault, M. J., Evmenova, A. S., &amp; Behrmann, M. M. (2008). Going beyond at devices: Are at services being considered? </w:t>
      </w:r>
      <w:r w:rsidRPr="0064705E">
        <w:rPr>
          <w:i/>
          <w:iCs/>
        </w:rPr>
        <w:t>Journal of Special Education Technology</w:t>
      </w:r>
      <w:r w:rsidRPr="0064705E">
        <w:t xml:space="preserve">, </w:t>
      </w:r>
      <w:r w:rsidRPr="0064705E">
        <w:rPr>
          <w:i/>
          <w:iCs/>
        </w:rPr>
        <w:t>23</w:t>
      </w:r>
      <w:r w:rsidRPr="0064705E">
        <w:t>(2), 1–2. ERIC. https://doi.org/10.1177/016264340802300201</w:t>
      </w:r>
    </w:p>
    <w:p w14:paraId="4461F606" w14:textId="77777777" w:rsidR="0064705E" w:rsidRPr="0064705E" w:rsidRDefault="0064705E" w:rsidP="0064705E">
      <w:pPr>
        <w:pStyle w:val="Bibliography"/>
      </w:pPr>
      <w:r w:rsidRPr="0064705E">
        <w:t xml:space="preserve">Bausch, M. E., &amp; Hasselbring, T. S. (2004). Assistive technology: Are the necessary skills and knowledge being developed at the pre-service and in-service levels? </w:t>
      </w:r>
      <w:r w:rsidRPr="0064705E">
        <w:rPr>
          <w:i/>
          <w:iCs/>
        </w:rPr>
        <w:t>Teacher Education and Special Education</w:t>
      </w:r>
      <w:r w:rsidRPr="0064705E">
        <w:t xml:space="preserve">, </w:t>
      </w:r>
      <w:r w:rsidRPr="0064705E">
        <w:rPr>
          <w:i/>
          <w:iCs/>
        </w:rPr>
        <w:t>27</w:t>
      </w:r>
      <w:r w:rsidRPr="0064705E">
        <w:t>(2), 97–104. https://doi.org/10.1177/088840640402700202</w:t>
      </w:r>
    </w:p>
    <w:p w14:paraId="7D282F66" w14:textId="77777777" w:rsidR="0064705E" w:rsidRPr="0064705E" w:rsidRDefault="0064705E" w:rsidP="0064705E">
      <w:pPr>
        <w:pStyle w:val="Bibliography"/>
      </w:pPr>
      <w:r w:rsidRPr="0064705E">
        <w:t xml:space="preserve">Bouck, E. C. (2016). A national snapshot of assistive technology for students with disabilities. </w:t>
      </w:r>
      <w:r w:rsidRPr="0064705E">
        <w:rPr>
          <w:i/>
          <w:iCs/>
        </w:rPr>
        <w:t>Journal of Special Education Technology</w:t>
      </w:r>
      <w:r w:rsidRPr="0064705E">
        <w:t xml:space="preserve">, </w:t>
      </w:r>
      <w:r w:rsidRPr="0064705E">
        <w:rPr>
          <w:i/>
          <w:iCs/>
        </w:rPr>
        <w:t>31</w:t>
      </w:r>
      <w:r w:rsidRPr="0064705E">
        <w:t>(1), 4–13. https://doi.org/10.1177/0162643416633330</w:t>
      </w:r>
    </w:p>
    <w:p w14:paraId="09AF597D" w14:textId="77777777" w:rsidR="0064705E" w:rsidRPr="0064705E" w:rsidRDefault="0064705E" w:rsidP="0064705E">
      <w:pPr>
        <w:pStyle w:val="Bibliography"/>
      </w:pPr>
      <w:r w:rsidRPr="0064705E">
        <w:t xml:space="preserve">*Byrd-Jones, S. L. (2011). </w:t>
      </w:r>
      <w:r w:rsidRPr="0064705E">
        <w:rPr>
          <w:i/>
          <w:iCs/>
        </w:rPr>
        <w:t>The use of educational technology integration by special education teachers in rural schools in South Carolina</w:t>
      </w:r>
      <w:r w:rsidRPr="0064705E">
        <w:t xml:space="preserve"> (1312419834; ED537286) [Ed.D., University of South Carolina]. ERIC. https://www.proquest.com/docview/915123953/abstract/9A0195467D304CE5PQ/1</w:t>
      </w:r>
    </w:p>
    <w:p w14:paraId="2708C66F" w14:textId="77777777" w:rsidR="0064705E" w:rsidRPr="0064705E" w:rsidRDefault="0064705E" w:rsidP="0064705E">
      <w:pPr>
        <w:pStyle w:val="Bibliography"/>
      </w:pPr>
      <w:r w:rsidRPr="0064705E">
        <w:t xml:space="preserve">*Cain, T. (2018). </w:t>
      </w:r>
      <w:r w:rsidRPr="0064705E">
        <w:rPr>
          <w:i/>
          <w:iCs/>
        </w:rPr>
        <w:t>A case study on best practices of technology integration within instruction</w:t>
      </w:r>
      <w:r w:rsidRPr="0064705E">
        <w:t xml:space="preserve"> (2155995253; ED588600) [Ed.D., Northcentral University]. ERIC. https://www.proquest.com/docview/2101642611/abstract/C217C82D1DCE47B5PQ/1</w:t>
      </w:r>
    </w:p>
    <w:p w14:paraId="16B168BE" w14:textId="77777777" w:rsidR="0064705E" w:rsidRPr="0064705E" w:rsidRDefault="0064705E" w:rsidP="0064705E">
      <w:pPr>
        <w:pStyle w:val="Bibliography"/>
      </w:pPr>
      <w:r w:rsidRPr="0064705E">
        <w:lastRenderedPageBreak/>
        <w:t xml:space="preserve">CAST. (2024). </w:t>
      </w:r>
      <w:r w:rsidRPr="0064705E">
        <w:rPr>
          <w:i/>
          <w:iCs/>
        </w:rPr>
        <w:t>Universal design for learning guidelines version 3.0</w:t>
      </w:r>
      <w:r w:rsidRPr="0064705E">
        <w:t>. https://udlguidelines.cast.org</w:t>
      </w:r>
    </w:p>
    <w:p w14:paraId="2F0C0163" w14:textId="77777777" w:rsidR="0064705E" w:rsidRPr="0064705E" w:rsidRDefault="0064705E" w:rsidP="0064705E">
      <w:pPr>
        <w:pStyle w:val="Bibliography"/>
      </w:pPr>
      <w:r w:rsidRPr="0064705E">
        <w:t xml:space="preserve">Cheng, S., &amp; Parker, M. (2023). The role of school socioeconomic status in school-wide technology integration in the U.S. </w:t>
      </w:r>
      <w:r w:rsidRPr="0064705E">
        <w:rPr>
          <w:i/>
          <w:iCs/>
        </w:rPr>
        <w:t>Contemporary Educational Technology</w:t>
      </w:r>
      <w:r w:rsidRPr="0064705E">
        <w:t xml:space="preserve">, </w:t>
      </w:r>
      <w:r w:rsidRPr="0064705E">
        <w:rPr>
          <w:i/>
          <w:iCs/>
        </w:rPr>
        <w:t>15</w:t>
      </w:r>
      <w:r w:rsidRPr="0064705E">
        <w:t>(2), ep422. https://doi.org/10.30935/cedtech/13059</w:t>
      </w:r>
    </w:p>
    <w:p w14:paraId="7A9E0DED" w14:textId="77777777" w:rsidR="0064705E" w:rsidRPr="0064705E" w:rsidRDefault="0064705E" w:rsidP="0064705E">
      <w:pPr>
        <w:pStyle w:val="Bibliography"/>
      </w:pPr>
      <w:r w:rsidRPr="0064705E">
        <w:t xml:space="preserve">Chun, J., &amp; Williams, T. O. (2021). A community of practice for professional development in technology integrations for accessibility: A case study of a faculty inquiry group. </w:t>
      </w:r>
      <w:r w:rsidRPr="0064705E">
        <w:rPr>
          <w:i/>
          <w:iCs/>
        </w:rPr>
        <w:t>College Teaching</w:t>
      </w:r>
      <w:r w:rsidRPr="0064705E">
        <w:t xml:space="preserve">, </w:t>
      </w:r>
      <w:r w:rsidRPr="0064705E">
        <w:rPr>
          <w:i/>
          <w:iCs/>
        </w:rPr>
        <w:t>69</w:t>
      </w:r>
      <w:r w:rsidRPr="0064705E">
        <w:t>(3), 126–137. https://doi.org/10.1080/87567555.2020.1832435</w:t>
      </w:r>
    </w:p>
    <w:p w14:paraId="1C892A92" w14:textId="77777777" w:rsidR="0064705E" w:rsidRPr="0064705E" w:rsidRDefault="0064705E" w:rsidP="0064705E">
      <w:pPr>
        <w:pStyle w:val="Bibliography"/>
      </w:pPr>
      <w:r w:rsidRPr="0064705E">
        <w:t xml:space="preserve">*Ciampa, K. (2017). Building bridges between technology and content literacy in special education: Lessons learned from special educators’ use of integrated technology and perceived benefits for students. </w:t>
      </w:r>
      <w:r w:rsidRPr="0064705E">
        <w:rPr>
          <w:i/>
          <w:iCs/>
        </w:rPr>
        <w:t>Literacy Research and Instruction</w:t>
      </w:r>
      <w:r w:rsidRPr="0064705E">
        <w:t xml:space="preserve">, </w:t>
      </w:r>
      <w:r w:rsidRPr="0064705E">
        <w:rPr>
          <w:i/>
          <w:iCs/>
        </w:rPr>
        <w:t>56</w:t>
      </w:r>
      <w:r w:rsidRPr="0064705E">
        <w:t>(2), 85–113. ERIC. https://doi.org/10.1080/19388071.2017.1280863</w:t>
      </w:r>
    </w:p>
    <w:p w14:paraId="5532E50D" w14:textId="77777777" w:rsidR="0064705E" w:rsidRPr="0064705E" w:rsidRDefault="0064705E" w:rsidP="0064705E">
      <w:pPr>
        <w:pStyle w:val="Bibliography"/>
      </w:pPr>
      <w:r w:rsidRPr="0064705E">
        <w:t xml:space="preserve">Combs, E., &amp; Silverman, S. (2016). </w:t>
      </w:r>
      <w:r w:rsidRPr="0064705E">
        <w:rPr>
          <w:i/>
          <w:iCs/>
        </w:rPr>
        <w:t>Bridging the gap: Paving the pathway from current practice to exemplary professional learning</w:t>
      </w:r>
      <w:r w:rsidRPr="0064705E">
        <w:t>. Frontline Research &amp; Learning Institute. https://www.frontlineeducation.com/uploads/sites/2/2023/04/Bridging-The-Gap_Paving-the-Pathway-from-Current-Practice-to-Exemplary-Professional-Learning.pdf</w:t>
      </w:r>
    </w:p>
    <w:p w14:paraId="1C89FE8A" w14:textId="77777777" w:rsidR="0064705E" w:rsidRPr="0064705E" w:rsidRDefault="0064705E" w:rsidP="0064705E">
      <w:pPr>
        <w:pStyle w:val="Bibliography"/>
      </w:pPr>
      <w:r w:rsidRPr="0064705E">
        <w:t xml:space="preserve">*Courduff, J. L. (2011). </w:t>
      </w:r>
      <w:r w:rsidRPr="0064705E">
        <w:rPr>
          <w:i/>
          <w:iCs/>
        </w:rPr>
        <w:t>Technology integration in the resource specialist environment</w:t>
      </w:r>
      <w:r w:rsidRPr="0064705E">
        <w:t xml:space="preserve"> (1140139295; ED534877) [Ph.D., Walden University]. ERIC. https://www.proquest.com/docview/907104754/abstract/71BEA1EB7D294231PQ/1</w:t>
      </w:r>
    </w:p>
    <w:p w14:paraId="74F6AD4D" w14:textId="77777777" w:rsidR="0064705E" w:rsidRPr="0064705E" w:rsidRDefault="0064705E" w:rsidP="0064705E">
      <w:pPr>
        <w:pStyle w:val="Bibliography"/>
      </w:pPr>
      <w:r w:rsidRPr="0064705E">
        <w:t xml:space="preserve">Crompton, H., &amp; Sykora, C. (2021). Developing instructional technology standards for educators: A design-based research study. </w:t>
      </w:r>
      <w:r w:rsidRPr="0064705E">
        <w:rPr>
          <w:i/>
          <w:iCs/>
        </w:rPr>
        <w:t>Computers and Education Open</w:t>
      </w:r>
      <w:r w:rsidRPr="0064705E">
        <w:t xml:space="preserve">, </w:t>
      </w:r>
      <w:r w:rsidRPr="0064705E">
        <w:rPr>
          <w:i/>
          <w:iCs/>
        </w:rPr>
        <w:t>2</w:t>
      </w:r>
      <w:r w:rsidRPr="0064705E">
        <w:t>, 100044. https://doi.org/10.1016/j.caeo.2021.100044</w:t>
      </w:r>
    </w:p>
    <w:p w14:paraId="36635384" w14:textId="77777777" w:rsidR="0064705E" w:rsidRPr="0064705E" w:rsidRDefault="0064705E" w:rsidP="0064705E">
      <w:pPr>
        <w:pStyle w:val="Bibliography"/>
      </w:pPr>
      <w:r w:rsidRPr="0064705E">
        <w:lastRenderedPageBreak/>
        <w:t xml:space="preserve">Darling-Hammond, L. (2024). Reinventing systems for equity. </w:t>
      </w:r>
      <w:r w:rsidRPr="0064705E">
        <w:rPr>
          <w:i/>
          <w:iCs/>
        </w:rPr>
        <w:t>ECNU Review of Education</w:t>
      </w:r>
      <w:r w:rsidRPr="0064705E">
        <w:t xml:space="preserve">, </w:t>
      </w:r>
      <w:r w:rsidRPr="0064705E">
        <w:rPr>
          <w:i/>
          <w:iCs/>
        </w:rPr>
        <w:t>7</w:t>
      </w:r>
      <w:r w:rsidRPr="0064705E">
        <w:t>(2), 214–229. https://doi.org/10.1177/20965311241237238</w:t>
      </w:r>
    </w:p>
    <w:p w14:paraId="1B87C20D" w14:textId="77777777" w:rsidR="0064705E" w:rsidRPr="0064705E" w:rsidRDefault="0064705E" w:rsidP="0064705E">
      <w:pPr>
        <w:pStyle w:val="Bibliography"/>
      </w:pPr>
      <w:r w:rsidRPr="0064705E">
        <w:t xml:space="preserve">Darling-Hammond, L., Hyler, M., &amp; Gardner, M. (2017). </w:t>
      </w:r>
      <w:r w:rsidRPr="0064705E">
        <w:rPr>
          <w:i/>
          <w:iCs/>
        </w:rPr>
        <w:t>Effective teacher professional development</w:t>
      </w:r>
      <w:r w:rsidRPr="0064705E">
        <w:t>. Learning Policy Institute. https://doi.org/10.54300/122.311</w:t>
      </w:r>
    </w:p>
    <w:p w14:paraId="422C310F" w14:textId="77777777" w:rsidR="0064705E" w:rsidRPr="0064705E" w:rsidRDefault="0064705E" w:rsidP="0064705E">
      <w:pPr>
        <w:pStyle w:val="Bibliography"/>
      </w:pPr>
      <w:r w:rsidRPr="0064705E">
        <w:t xml:space="preserve">Desimone, L. M. (2023). Rethinking teacher PD: A focus on how to improve student learning. </w:t>
      </w:r>
      <w:r w:rsidRPr="0064705E">
        <w:rPr>
          <w:i/>
          <w:iCs/>
        </w:rPr>
        <w:t>Professional Development in Education</w:t>
      </w:r>
      <w:r w:rsidRPr="0064705E">
        <w:t xml:space="preserve">, </w:t>
      </w:r>
      <w:r w:rsidRPr="0064705E">
        <w:rPr>
          <w:i/>
          <w:iCs/>
        </w:rPr>
        <w:t>49</w:t>
      </w:r>
      <w:r w:rsidRPr="0064705E">
        <w:t>(1), 1–3. https://doi.org/10.1080/19415257.2023.2162746</w:t>
      </w:r>
    </w:p>
    <w:p w14:paraId="3462D91A" w14:textId="77777777" w:rsidR="0064705E" w:rsidRPr="0064705E" w:rsidRDefault="0064705E" w:rsidP="0064705E">
      <w:pPr>
        <w:pStyle w:val="Bibliography"/>
      </w:pPr>
      <w:r w:rsidRPr="0064705E">
        <w:t xml:space="preserve">Dolan, J. E. (2016). Splicing the divide: A review of research on the evolving digital divide among K–12 students. </w:t>
      </w:r>
      <w:r w:rsidRPr="0064705E">
        <w:rPr>
          <w:i/>
          <w:iCs/>
        </w:rPr>
        <w:t>Journal of Research on Technology in Education</w:t>
      </w:r>
      <w:r w:rsidRPr="0064705E">
        <w:t xml:space="preserve">, </w:t>
      </w:r>
      <w:r w:rsidRPr="0064705E">
        <w:rPr>
          <w:i/>
          <w:iCs/>
        </w:rPr>
        <w:t>48</w:t>
      </w:r>
      <w:r w:rsidRPr="0064705E">
        <w:t>(1), 16–37. https://doi.org/10.1080/15391523.2015.1103147</w:t>
      </w:r>
    </w:p>
    <w:p w14:paraId="4F2F8D51" w14:textId="77777777" w:rsidR="0064705E" w:rsidRPr="0064705E" w:rsidRDefault="0064705E" w:rsidP="0064705E">
      <w:pPr>
        <w:pStyle w:val="Bibliography"/>
      </w:pPr>
      <w:r w:rsidRPr="0064705E">
        <w:t xml:space="preserve">*Du, X. (2022). Professional development for virtual environment: Designing assistive-technology infused inquiry-based learning experience for online teaching. </w:t>
      </w:r>
      <w:r w:rsidRPr="0064705E">
        <w:rPr>
          <w:i/>
          <w:iCs/>
        </w:rPr>
        <w:t>Journal of Online Learning Research</w:t>
      </w:r>
      <w:r w:rsidRPr="0064705E">
        <w:t xml:space="preserve">, </w:t>
      </w:r>
      <w:r w:rsidRPr="0064705E">
        <w:rPr>
          <w:i/>
          <w:iCs/>
        </w:rPr>
        <w:t>8</w:t>
      </w:r>
      <w:r w:rsidRPr="0064705E">
        <w:t>(3), 425–446. ERIC. https://eric.ed.gov/?id=EJ1372630</w:t>
      </w:r>
    </w:p>
    <w:p w14:paraId="6E4D3237" w14:textId="77777777" w:rsidR="0064705E" w:rsidRPr="0064705E" w:rsidRDefault="0064705E" w:rsidP="0064705E">
      <w:pPr>
        <w:pStyle w:val="Bibliography"/>
      </w:pPr>
      <w:r w:rsidRPr="0064705E">
        <w:t xml:space="preserve">*Du, X., &amp; Lyublinskaya, I. (2022). Designing professional development for special education teachers: Effects on assistive technology competency in developing inquiry-based student experiences. </w:t>
      </w:r>
      <w:r w:rsidRPr="0064705E">
        <w:rPr>
          <w:i/>
          <w:iCs/>
        </w:rPr>
        <w:t>Journal of Digital Learning in Teacher Education</w:t>
      </w:r>
      <w:r w:rsidRPr="0064705E">
        <w:t xml:space="preserve">, </w:t>
      </w:r>
      <w:r w:rsidRPr="0064705E">
        <w:rPr>
          <w:i/>
          <w:iCs/>
        </w:rPr>
        <w:t>38</w:t>
      </w:r>
      <w:r w:rsidRPr="0064705E">
        <w:t>(4), 199–210. ERIC. https://doi.org/10.1080/21532974.2022.2113938</w:t>
      </w:r>
    </w:p>
    <w:p w14:paraId="228C675C" w14:textId="77777777" w:rsidR="0064705E" w:rsidRPr="0064705E" w:rsidRDefault="0064705E" w:rsidP="0064705E">
      <w:pPr>
        <w:pStyle w:val="Bibliography"/>
      </w:pPr>
      <w:r w:rsidRPr="0064705E">
        <w:t xml:space="preserve">Edyburn, D. L. (2013). Critical issues in advancing the special education technology evidence base. </w:t>
      </w:r>
      <w:r w:rsidRPr="0064705E">
        <w:rPr>
          <w:i/>
          <w:iCs/>
        </w:rPr>
        <w:t>Exceptional Children</w:t>
      </w:r>
      <w:r w:rsidRPr="0064705E">
        <w:t xml:space="preserve">, </w:t>
      </w:r>
      <w:r w:rsidRPr="0064705E">
        <w:rPr>
          <w:i/>
          <w:iCs/>
        </w:rPr>
        <w:t>80</w:t>
      </w:r>
      <w:r w:rsidRPr="0064705E">
        <w:t>(1), 7–24. https://doi.org/10.1177/001440291308000107</w:t>
      </w:r>
    </w:p>
    <w:p w14:paraId="7F66062A" w14:textId="77777777" w:rsidR="0064705E" w:rsidRPr="0064705E" w:rsidRDefault="0064705E" w:rsidP="0064705E">
      <w:pPr>
        <w:pStyle w:val="Bibliography"/>
      </w:pPr>
      <w:r w:rsidRPr="0064705E">
        <w:t xml:space="preserve">El Islami, R. A. Z., Anantanukulwong, R., &amp; Faikhamta, C. (2022). Trends of teacher professional development strategies: A systematic review. </w:t>
      </w:r>
      <w:r w:rsidRPr="0064705E">
        <w:rPr>
          <w:i/>
          <w:iCs/>
        </w:rPr>
        <w:t>Shanlax International Journal of Education</w:t>
      </w:r>
      <w:r w:rsidRPr="0064705E">
        <w:t xml:space="preserve">, </w:t>
      </w:r>
      <w:r w:rsidRPr="0064705E">
        <w:rPr>
          <w:i/>
          <w:iCs/>
        </w:rPr>
        <w:t>10</w:t>
      </w:r>
      <w:r w:rsidRPr="0064705E">
        <w:t>(2), 1–8. https://doi.org/10.34293/education.v10i2.4628</w:t>
      </w:r>
    </w:p>
    <w:p w14:paraId="08077FFC" w14:textId="77777777" w:rsidR="0064705E" w:rsidRPr="0064705E" w:rsidRDefault="0064705E" w:rsidP="0064705E">
      <w:pPr>
        <w:pStyle w:val="Bibliography"/>
      </w:pPr>
      <w:r w:rsidRPr="0064705E">
        <w:lastRenderedPageBreak/>
        <w:t xml:space="preserve">Emerling, C. R., Wilkinson, S., &amp; Maggin, D. M. (2021). Educator knowledge and implementation of assistive technology to support challenging behaviors: An exploratory inquiry. </w:t>
      </w:r>
      <w:r w:rsidRPr="0064705E">
        <w:rPr>
          <w:i/>
          <w:iCs/>
        </w:rPr>
        <w:t>Journal of Special Education Technology</w:t>
      </w:r>
      <w:r w:rsidRPr="0064705E">
        <w:t xml:space="preserve">, </w:t>
      </w:r>
      <w:r w:rsidRPr="0064705E">
        <w:rPr>
          <w:i/>
          <w:iCs/>
        </w:rPr>
        <w:t>36</w:t>
      </w:r>
      <w:r w:rsidRPr="0064705E">
        <w:t>(3), 162–174. https://doi.org/10.1177/01626434211034803</w:t>
      </w:r>
    </w:p>
    <w:p w14:paraId="22C58A4A" w14:textId="77777777" w:rsidR="0064705E" w:rsidRPr="0064705E" w:rsidRDefault="0064705E" w:rsidP="0064705E">
      <w:pPr>
        <w:pStyle w:val="Bibliography"/>
      </w:pPr>
      <w:r w:rsidRPr="0064705E">
        <w:t xml:space="preserve">Ertmer, P. A. (1999). Addressing first- and second-order barriers to change: Strategies for technology integration. </w:t>
      </w:r>
      <w:r w:rsidRPr="0064705E">
        <w:rPr>
          <w:i/>
          <w:iCs/>
        </w:rPr>
        <w:t>Educational Technology Research and Development</w:t>
      </w:r>
      <w:r w:rsidRPr="0064705E">
        <w:t xml:space="preserve">, </w:t>
      </w:r>
      <w:r w:rsidRPr="0064705E">
        <w:rPr>
          <w:i/>
          <w:iCs/>
        </w:rPr>
        <w:t>47</w:t>
      </w:r>
      <w:r w:rsidRPr="0064705E">
        <w:t>(4), 47–61. https://doi.org/10.1007/bf02299597</w:t>
      </w:r>
    </w:p>
    <w:p w14:paraId="0F570503" w14:textId="77777777" w:rsidR="0064705E" w:rsidRPr="0064705E" w:rsidRDefault="0064705E" w:rsidP="0064705E">
      <w:pPr>
        <w:pStyle w:val="Bibliography"/>
      </w:pPr>
      <w:r w:rsidRPr="0064705E">
        <w:t xml:space="preserve">Ertmer, P. A. (2005). Teacher pedagogical beliefs: The final frontier in our quest for technology integration? </w:t>
      </w:r>
      <w:r w:rsidRPr="0064705E">
        <w:rPr>
          <w:i/>
          <w:iCs/>
        </w:rPr>
        <w:t>Educational Technology Research and Development</w:t>
      </w:r>
      <w:r w:rsidRPr="0064705E">
        <w:t xml:space="preserve">, </w:t>
      </w:r>
      <w:r w:rsidRPr="0064705E">
        <w:rPr>
          <w:i/>
          <w:iCs/>
        </w:rPr>
        <w:t>53</w:t>
      </w:r>
      <w:r w:rsidRPr="0064705E">
        <w:t>(4), 25–39. https://doi.org/10.1007/bf02504683</w:t>
      </w:r>
    </w:p>
    <w:p w14:paraId="18680C8C" w14:textId="77777777" w:rsidR="0064705E" w:rsidRPr="0064705E" w:rsidRDefault="0064705E" w:rsidP="0064705E">
      <w:pPr>
        <w:pStyle w:val="Bibliography"/>
      </w:pPr>
      <w:r w:rsidRPr="0064705E">
        <w:t xml:space="preserve">Ertmer, P. A., Ottenbreit-Leftwich, A. T., Sadik, O., Sendurur, E., &amp; Sendurur, P. (2012). Teacher beliefs and technology integration practices: A critical relationship. </w:t>
      </w:r>
      <w:r w:rsidRPr="0064705E">
        <w:rPr>
          <w:i/>
          <w:iCs/>
        </w:rPr>
        <w:t>Computers &amp; Education</w:t>
      </w:r>
      <w:r w:rsidRPr="0064705E">
        <w:t xml:space="preserve">, </w:t>
      </w:r>
      <w:r w:rsidRPr="0064705E">
        <w:rPr>
          <w:i/>
          <w:iCs/>
        </w:rPr>
        <w:t>59</w:t>
      </w:r>
      <w:r w:rsidRPr="0064705E">
        <w:t>(2), 423–435. https://doi.org/10.1016/j.compedu.2012.02.001</w:t>
      </w:r>
    </w:p>
    <w:p w14:paraId="6AB62322" w14:textId="77777777" w:rsidR="0064705E" w:rsidRPr="0064705E" w:rsidRDefault="0064705E" w:rsidP="0064705E">
      <w:pPr>
        <w:pStyle w:val="Bibliography"/>
      </w:pPr>
      <w:r w:rsidRPr="0064705E">
        <w:t xml:space="preserve">Etscheidt, S. L. (2016). Assistive technology for students with disabilities: A legal analysis of issues. </w:t>
      </w:r>
      <w:r w:rsidRPr="0064705E">
        <w:rPr>
          <w:i/>
          <w:iCs/>
        </w:rPr>
        <w:t>Journal of Special Education Technology</w:t>
      </w:r>
      <w:r w:rsidRPr="0064705E">
        <w:t xml:space="preserve">, </w:t>
      </w:r>
      <w:r w:rsidRPr="0064705E">
        <w:rPr>
          <w:i/>
          <w:iCs/>
        </w:rPr>
        <w:t>31</w:t>
      </w:r>
      <w:r w:rsidRPr="0064705E">
        <w:t>(4), 183–194. https://doi.org/10.1177/0162643416673912</w:t>
      </w:r>
    </w:p>
    <w:p w14:paraId="686ECC1B" w14:textId="77777777" w:rsidR="0064705E" w:rsidRPr="0064705E" w:rsidRDefault="0064705E" w:rsidP="0064705E">
      <w:pPr>
        <w:pStyle w:val="Bibliography"/>
      </w:pPr>
      <w:r w:rsidRPr="0064705E">
        <w:t xml:space="preserve">Evmenova, A. S., Regan, K. S., Schladant, M., Hall, T. E., Buzhardt, J., Erickson, K. A., Ai, J., Sudduth, C., &amp; Jackson, T. (2023). Stepping-up technology implementation—How does it happen? </w:t>
      </w:r>
      <w:r w:rsidRPr="0064705E">
        <w:rPr>
          <w:i/>
          <w:iCs/>
        </w:rPr>
        <w:t>Journal of Special Education Technology</w:t>
      </w:r>
      <w:r w:rsidRPr="0064705E">
        <w:t xml:space="preserve">, </w:t>
      </w:r>
      <w:r w:rsidRPr="0064705E">
        <w:rPr>
          <w:i/>
          <w:iCs/>
        </w:rPr>
        <w:t>38</w:t>
      </w:r>
      <w:r w:rsidRPr="0064705E">
        <w:t>(1), 61–74. https://doi.org/10.1177/01626434221074357</w:t>
      </w:r>
    </w:p>
    <w:p w14:paraId="7D991234" w14:textId="77777777" w:rsidR="0064705E" w:rsidRPr="0064705E" w:rsidRDefault="0064705E" w:rsidP="0064705E">
      <w:pPr>
        <w:pStyle w:val="Bibliography"/>
      </w:pPr>
      <w:r w:rsidRPr="0064705E">
        <w:t xml:space="preserve">Fernández-Batanero, J. M., Montenegro-Rueda, M., Fernández-Cerero, J., &amp; García-Martínez, I. (2022). Assistive technology for the inclusion of students with disabilities: A systematic </w:t>
      </w:r>
      <w:r w:rsidRPr="0064705E">
        <w:lastRenderedPageBreak/>
        <w:t xml:space="preserve">review. </w:t>
      </w:r>
      <w:r w:rsidRPr="0064705E">
        <w:rPr>
          <w:i/>
          <w:iCs/>
        </w:rPr>
        <w:t>Educational Technology Research and Development</w:t>
      </w:r>
      <w:r w:rsidRPr="0064705E">
        <w:t xml:space="preserve">, </w:t>
      </w:r>
      <w:r w:rsidRPr="0064705E">
        <w:rPr>
          <w:i/>
          <w:iCs/>
        </w:rPr>
        <w:t>70</w:t>
      </w:r>
      <w:r w:rsidRPr="0064705E">
        <w:t>(5), 1911–1930. https://doi.org/10.1007/s11423-022-10127-7</w:t>
      </w:r>
    </w:p>
    <w:p w14:paraId="745C5265" w14:textId="77777777" w:rsidR="0064705E" w:rsidRPr="0064705E" w:rsidRDefault="0064705E" w:rsidP="0064705E">
      <w:pPr>
        <w:pStyle w:val="Bibliography"/>
      </w:pPr>
      <w:r w:rsidRPr="0064705E">
        <w:t xml:space="preserve">*Gersten, R., &amp; Kelly, B. (1992). Coaching secondary special education teachers in implementation of an innovative videodisc mathematics curriculum. </w:t>
      </w:r>
      <w:r w:rsidRPr="0064705E">
        <w:rPr>
          <w:i/>
          <w:iCs/>
        </w:rPr>
        <w:t>Remedial and Special Education (RASE)</w:t>
      </w:r>
      <w:r w:rsidRPr="0064705E">
        <w:t xml:space="preserve">, </w:t>
      </w:r>
      <w:r w:rsidRPr="0064705E">
        <w:rPr>
          <w:i/>
          <w:iCs/>
        </w:rPr>
        <w:t>13</w:t>
      </w:r>
      <w:r w:rsidRPr="0064705E">
        <w:t>(4), 40–51. ERIC. https://doi.org/10.1177/074193259201300411</w:t>
      </w:r>
    </w:p>
    <w:p w14:paraId="14D1D020" w14:textId="77777777" w:rsidR="0064705E" w:rsidRPr="0064705E" w:rsidRDefault="0064705E" w:rsidP="0064705E">
      <w:pPr>
        <w:pStyle w:val="Bibliography"/>
      </w:pPr>
      <w:r w:rsidRPr="0064705E">
        <w:t xml:space="preserve">Goldman, S., Carreon, A., &amp; Smith, S. (2024). Exploring the integration of artificial intelligence into special education teacher preparation through the TPACK framework. </w:t>
      </w:r>
      <w:r w:rsidRPr="0064705E">
        <w:rPr>
          <w:i/>
          <w:iCs/>
        </w:rPr>
        <w:t>Journal of Special Education Preparation</w:t>
      </w:r>
      <w:r w:rsidRPr="0064705E">
        <w:t xml:space="preserve">, </w:t>
      </w:r>
      <w:r w:rsidRPr="0064705E">
        <w:rPr>
          <w:i/>
          <w:iCs/>
        </w:rPr>
        <w:t>4</w:t>
      </w:r>
      <w:r w:rsidRPr="0064705E">
        <w:t>(2), Article 2. https://doi.org/10.33043/6zx26bb2</w:t>
      </w:r>
    </w:p>
    <w:p w14:paraId="502A1099" w14:textId="77777777" w:rsidR="0064705E" w:rsidRPr="0064705E" w:rsidRDefault="0064705E" w:rsidP="0064705E">
      <w:pPr>
        <w:pStyle w:val="Bibliography"/>
      </w:pPr>
      <w:r w:rsidRPr="0064705E">
        <w:t xml:space="preserve">Hargreaves, A. (2000). Four ages of professionalism and professional learning. </w:t>
      </w:r>
      <w:r w:rsidRPr="0064705E">
        <w:rPr>
          <w:i/>
          <w:iCs/>
        </w:rPr>
        <w:t>Teachers and Teaching</w:t>
      </w:r>
      <w:r w:rsidRPr="0064705E">
        <w:t xml:space="preserve">, </w:t>
      </w:r>
      <w:r w:rsidRPr="0064705E">
        <w:rPr>
          <w:i/>
          <w:iCs/>
        </w:rPr>
        <w:t>6</w:t>
      </w:r>
      <w:r w:rsidRPr="0064705E">
        <w:t>(2), 151–182. https://doi.org/10.1080/713698714</w:t>
      </w:r>
    </w:p>
    <w:p w14:paraId="78CBA787" w14:textId="2DA7BDB8" w:rsidR="0064705E" w:rsidRPr="0064705E" w:rsidRDefault="0064705E" w:rsidP="0064705E">
      <w:pPr>
        <w:pStyle w:val="Bibliography"/>
      </w:pPr>
      <w:r w:rsidRPr="0064705E">
        <w:t xml:space="preserve">Hayes, K. N., Preminger ,Linda, &amp; and Bae, C. L. (2024). Why does teacher learning vary in professional development? Accounting for organizational conditions. </w:t>
      </w:r>
      <w:r w:rsidRPr="0064705E">
        <w:rPr>
          <w:i/>
          <w:iCs/>
        </w:rPr>
        <w:t>Professional Development in Education</w:t>
      </w:r>
      <w:r w:rsidRPr="0064705E">
        <w:t xml:space="preserve">, </w:t>
      </w:r>
      <w:r w:rsidRPr="0064705E">
        <w:rPr>
          <w:i/>
          <w:iCs/>
        </w:rPr>
        <w:t>50</w:t>
      </w:r>
      <w:r w:rsidRPr="0064705E">
        <w:t>(1), 108–128. https://doi.org/10.1080/19415257.2023.2283433</w:t>
      </w:r>
    </w:p>
    <w:p w14:paraId="37E6E01A" w14:textId="77777777" w:rsidR="0064705E" w:rsidRPr="0064705E" w:rsidRDefault="0064705E" w:rsidP="0064705E">
      <w:pPr>
        <w:pStyle w:val="Bibliography"/>
      </w:pPr>
      <w:r w:rsidRPr="0064705E">
        <w:t xml:space="preserve">Hew, K. F., &amp; Brush, T. (2007). Integrating technology into K-12 teaching and learning: Current knowledge gaps and recommendations for future research. </w:t>
      </w:r>
      <w:r w:rsidRPr="0064705E">
        <w:rPr>
          <w:i/>
          <w:iCs/>
        </w:rPr>
        <w:t>Educational Technology Research and Development</w:t>
      </w:r>
      <w:r w:rsidRPr="0064705E">
        <w:t xml:space="preserve">, </w:t>
      </w:r>
      <w:r w:rsidRPr="0064705E">
        <w:rPr>
          <w:i/>
          <w:iCs/>
        </w:rPr>
        <w:t>55</w:t>
      </w:r>
      <w:r w:rsidRPr="0064705E">
        <w:t>(3), 223–252. https://doi.org/10.1007/s11423-006-9022-5</w:t>
      </w:r>
    </w:p>
    <w:p w14:paraId="2F301B3D" w14:textId="77777777" w:rsidR="0064705E" w:rsidRPr="0064705E" w:rsidRDefault="0064705E" w:rsidP="0064705E">
      <w:pPr>
        <w:pStyle w:val="Bibliography"/>
      </w:pPr>
      <w:r w:rsidRPr="0064705E">
        <w:t xml:space="preserve">*Hollins, K. G. (2017). </w:t>
      </w:r>
      <w:r w:rsidRPr="0064705E">
        <w:rPr>
          <w:i/>
          <w:iCs/>
        </w:rPr>
        <w:t>Assistive technology, disability, and access: Transforming thinking and practice through inquiry-based professional development</w:t>
      </w:r>
      <w:r w:rsidRPr="0064705E">
        <w:t xml:space="preserve"> (1906272624) [Ed.D., Teachers College, Columbia University]. ProQuest Dissertations &amp; Theses Global; Publicly Available Content Database. https://www.proquest.com/docview/1906272624/abstract/7EDDF6EEA66F4FAFPQ/1</w:t>
      </w:r>
    </w:p>
    <w:p w14:paraId="6391CC2C" w14:textId="77777777" w:rsidR="0064705E" w:rsidRPr="0064705E" w:rsidRDefault="0064705E" w:rsidP="0064705E">
      <w:pPr>
        <w:pStyle w:val="Bibliography"/>
      </w:pPr>
      <w:r w:rsidRPr="0064705E">
        <w:lastRenderedPageBreak/>
        <w:t xml:space="preserve">Hsu, P.-S. (2016). Examining current beliefs, practices and barriers about technology integration: A case study. </w:t>
      </w:r>
      <w:r w:rsidRPr="0064705E">
        <w:rPr>
          <w:i/>
          <w:iCs/>
        </w:rPr>
        <w:t>TechTrends</w:t>
      </w:r>
      <w:r w:rsidRPr="0064705E">
        <w:t xml:space="preserve">, </w:t>
      </w:r>
      <w:r w:rsidRPr="0064705E">
        <w:rPr>
          <w:i/>
          <w:iCs/>
        </w:rPr>
        <w:t>60</w:t>
      </w:r>
      <w:r w:rsidRPr="0064705E">
        <w:t>(1), 30–40. https://doi.org/10.1007/s11528-015-0014-3</w:t>
      </w:r>
    </w:p>
    <w:p w14:paraId="6B52AC18" w14:textId="77777777" w:rsidR="0064705E" w:rsidRPr="0064705E" w:rsidRDefault="0064705E" w:rsidP="0064705E">
      <w:pPr>
        <w:pStyle w:val="Bibliography"/>
      </w:pPr>
      <w:r w:rsidRPr="0064705E">
        <w:t xml:space="preserve">Hunt, T., Carter, R., Yang, S., Zhang, L., &amp; Williams, M. (2022). Navigating the use of micro-credentials. </w:t>
      </w:r>
      <w:r w:rsidRPr="0064705E">
        <w:rPr>
          <w:i/>
          <w:iCs/>
        </w:rPr>
        <w:t>Journal of Special Education Technology</w:t>
      </w:r>
      <w:r w:rsidRPr="0064705E">
        <w:t xml:space="preserve">, </w:t>
      </w:r>
      <w:r w:rsidRPr="0064705E">
        <w:rPr>
          <w:i/>
          <w:iCs/>
        </w:rPr>
        <w:t>37</w:t>
      </w:r>
      <w:r w:rsidRPr="0064705E">
        <w:t>(1), 3–10. ERIC. https://doi.org/10.1177/0162643420933568</w:t>
      </w:r>
    </w:p>
    <w:p w14:paraId="5DA0F513" w14:textId="77777777" w:rsidR="0064705E" w:rsidRPr="0064705E" w:rsidRDefault="0064705E" w:rsidP="0064705E">
      <w:pPr>
        <w:pStyle w:val="Bibliography"/>
      </w:pPr>
      <w:r w:rsidRPr="0064705E">
        <w:t xml:space="preserve">Imants, J., &amp; Van Der Wal, M. M. (2020). A model of teacher agency in professional development and school reform. </w:t>
      </w:r>
      <w:r w:rsidRPr="0064705E">
        <w:rPr>
          <w:i/>
          <w:iCs/>
        </w:rPr>
        <w:t>Journal of Curriculum Studies</w:t>
      </w:r>
      <w:r w:rsidRPr="0064705E">
        <w:t xml:space="preserve">, </w:t>
      </w:r>
      <w:r w:rsidRPr="0064705E">
        <w:rPr>
          <w:i/>
          <w:iCs/>
        </w:rPr>
        <w:t>52</w:t>
      </w:r>
      <w:r w:rsidRPr="0064705E">
        <w:t>(1), 1–14. https://doi.org/10.1080/00220272.2019.1604809</w:t>
      </w:r>
    </w:p>
    <w:p w14:paraId="02E6CA60" w14:textId="77777777" w:rsidR="0064705E" w:rsidRPr="0064705E" w:rsidRDefault="0064705E" w:rsidP="0064705E">
      <w:pPr>
        <w:pStyle w:val="Bibliography"/>
      </w:pPr>
      <w:r w:rsidRPr="0064705E">
        <w:t>Individuals with Disabilities Education Act (1990).</w:t>
      </w:r>
    </w:p>
    <w:p w14:paraId="6AEE6AA3" w14:textId="77777777" w:rsidR="0064705E" w:rsidRPr="0064705E" w:rsidRDefault="0064705E" w:rsidP="0064705E">
      <w:pPr>
        <w:pStyle w:val="Bibliography"/>
      </w:pPr>
      <w:r w:rsidRPr="0064705E">
        <w:t>Individuals with Disabilities Education Improvement Act of 2004, 20 U.S.C. § 1400 et seq. (2004). https://www.govinfo.gov/content/pkg/PLAW-108publ446/pdf/PLAW-108publ446.pdf</w:t>
      </w:r>
    </w:p>
    <w:p w14:paraId="577DDE09" w14:textId="77777777" w:rsidR="0064705E" w:rsidRPr="0064705E" w:rsidRDefault="0064705E" w:rsidP="0064705E">
      <w:pPr>
        <w:pStyle w:val="Bibliography"/>
      </w:pPr>
      <w:r w:rsidRPr="0064705E">
        <w:t xml:space="preserve">Jacobsen, M., Clifford, P., &amp; Friesen, S. (2002). Preparing teachers for technology integration: Creating a culture of inquiry in the context of use. </w:t>
      </w:r>
      <w:r w:rsidRPr="0064705E">
        <w:rPr>
          <w:i/>
          <w:iCs/>
        </w:rPr>
        <w:t>Contemporary Issues in Technology and Teacher Education</w:t>
      </w:r>
      <w:r w:rsidRPr="0064705E">
        <w:t xml:space="preserve">, </w:t>
      </w:r>
      <w:r w:rsidRPr="0064705E">
        <w:rPr>
          <w:i/>
          <w:iCs/>
        </w:rPr>
        <w:t>2</w:t>
      </w:r>
      <w:r w:rsidRPr="0064705E">
        <w:t>(3), 363–388. https://www.learntechlib.org/primary/p/17761/</w:t>
      </w:r>
    </w:p>
    <w:p w14:paraId="12BBE28D" w14:textId="77777777" w:rsidR="0064705E" w:rsidRPr="0064705E" w:rsidRDefault="0064705E" w:rsidP="0064705E">
      <w:pPr>
        <w:pStyle w:val="Bibliography"/>
      </w:pPr>
      <w:r w:rsidRPr="0064705E">
        <w:t xml:space="preserve">Januszewski, A., &amp; Molenda, M. (2013). </w:t>
      </w:r>
      <w:r w:rsidRPr="0064705E">
        <w:rPr>
          <w:i/>
          <w:iCs/>
        </w:rPr>
        <w:t>Educational technology: A definition with commentary</w:t>
      </w:r>
      <w:r w:rsidRPr="0064705E">
        <w:t xml:space="preserve"> (2nd ed). Taylor and Francis.</w:t>
      </w:r>
    </w:p>
    <w:p w14:paraId="4CEF088C" w14:textId="77777777" w:rsidR="0064705E" w:rsidRPr="0064705E" w:rsidRDefault="0064705E" w:rsidP="0064705E">
      <w:pPr>
        <w:pStyle w:val="Bibliography"/>
      </w:pPr>
      <w:r w:rsidRPr="0064705E">
        <w:t xml:space="preserve">Kennedy, M. J., Aronin, S., O’Neal, M., Newton, J. R., &amp; Thomas, C. N. (2014). Creating multimedia-based vignettes with embedded evidence-based practices: A tool for supporting struggling learners. </w:t>
      </w:r>
      <w:r w:rsidRPr="0064705E">
        <w:rPr>
          <w:i/>
          <w:iCs/>
        </w:rPr>
        <w:t>Journal of Special Education Technology</w:t>
      </w:r>
      <w:r w:rsidRPr="0064705E">
        <w:t xml:space="preserve">, </w:t>
      </w:r>
      <w:r w:rsidRPr="0064705E">
        <w:rPr>
          <w:i/>
          <w:iCs/>
        </w:rPr>
        <w:t>29</w:t>
      </w:r>
      <w:r w:rsidRPr="0064705E">
        <w:t>(4), 15–30. https://doi.org/10.1177/016264341402900402</w:t>
      </w:r>
    </w:p>
    <w:p w14:paraId="0927CE16" w14:textId="77777777" w:rsidR="0064705E" w:rsidRPr="0064705E" w:rsidRDefault="0064705E" w:rsidP="0064705E">
      <w:pPr>
        <w:pStyle w:val="Bibliography"/>
      </w:pPr>
      <w:r w:rsidRPr="0064705E">
        <w:lastRenderedPageBreak/>
        <w:t xml:space="preserve">Koch, K. (2017). Stay in the box! Embedded assistive technology improves access for students with disabilities. </w:t>
      </w:r>
      <w:r w:rsidRPr="0064705E">
        <w:rPr>
          <w:i/>
          <w:iCs/>
        </w:rPr>
        <w:t>Education Sciences</w:t>
      </w:r>
      <w:r w:rsidRPr="0064705E">
        <w:t xml:space="preserve">, </w:t>
      </w:r>
      <w:r w:rsidRPr="0064705E">
        <w:rPr>
          <w:i/>
          <w:iCs/>
        </w:rPr>
        <w:t>7</w:t>
      </w:r>
      <w:r w:rsidRPr="0064705E">
        <w:t>(4), 82. Publicly Available Content Database. https://doi.org/10.3390/educsci7040082</w:t>
      </w:r>
    </w:p>
    <w:p w14:paraId="5719D2B2" w14:textId="77777777" w:rsidR="0064705E" w:rsidRPr="0064705E" w:rsidRDefault="0064705E" w:rsidP="0064705E">
      <w:pPr>
        <w:pStyle w:val="Bibliography"/>
      </w:pPr>
      <w:r w:rsidRPr="0064705E">
        <w:t xml:space="preserve">Lamond, B., &amp; Cunningham, T. (2020). Understanding teacher perceptions of assistive technology. </w:t>
      </w:r>
      <w:r w:rsidRPr="0064705E">
        <w:rPr>
          <w:i/>
          <w:iCs/>
        </w:rPr>
        <w:t>Journal of Special Education Technology</w:t>
      </w:r>
      <w:r w:rsidRPr="0064705E">
        <w:t xml:space="preserve">, </w:t>
      </w:r>
      <w:r w:rsidRPr="0064705E">
        <w:rPr>
          <w:i/>
          <w:iCs/>
        </w:rPr>
        <w:t>35</w:t>
      </w:r>
      <w:r w:rsidRPr="0064705E">
        <w:t>(2), 97–108. ERIC. https://doi.org/10.1177/0162643419841550</w:t>
      </w:r>
    </w:p>
    <w:p w14:paraId="14B4D30E" w14:textId="77777777" w:rsidR="0064705E" w:rsidRPr="0064705E" w:rsidRDefault="0064705E" w:rsidP="0064705E">
      <w:pPr>
        <w:pStyle w:val="Bibliography"/>
      </w:pPr>
      <w:r w:rsidRPr="0064705E">
        <w:t xml:space="preserve">Lovett, M. C. (with Bridges, M. W., DiPietro, M., Ambrose, S. A., &amp; Norman, M. K.). (2023). </w:t>
      </w:r>
      <w:r w:rsidRPr="0064705E">
        <w:rPr>
          <w:i/>
          <w:iCs/>
        </w:rPr>
        <w:t>How learning works: Eight research-based principles for smart teaching</w:t>
      </w:r>
      <w:r w:rsidRPr="0064705E">
        <w:t xml:space="preserve"> (2nd ed). John Wiley &amp; Sons, Incorporated.</w:t>
      </w:r>
    </w:p>
    <w:p w14:paraId="78117223" w14:textId="77777777" w:rsidR="0064705E" w:rsidRPr="0064705E" w:rsidRDefault="0064705E" w:rsidP="0064705E">
      <w:pPr>
        <w:pStyle w:val="Bibliography"/>
      </w:pPr>
      <w:r w:rsidRPr="0064705E">
        <w:t xml:space="preserve">McGregor, G., &amp; Pachuski, P. (1996). Assistive technology in schools: Are teachers ready, able, and supported? </w:t>
      </w:r>
      <w:r w:rsidRPr="0064705E">
        <w:rPr>
          <w:i/>
          <w:iCs/>
        </w:rPr>
        <w:t>Journal of Special Education Technology</w:t>
      </w:r>
      <w:r w:rsidRPr="0064705E">
        <w:t xml:space="preserve">, </w:t>
      </w:r>
      <w:r w:rsidRPr="0064705E">
        <w:rPr>
          <w:i/>
          <w:iCs/>
        </w:rPr>
        <w:t>13</w:t>
      </w:r>
      <w:r w:rsidRPr="0064705E">
        <w:t>(1), 4–15. Nursing &amp; Allied Health Premium. https://doi.org/10.1177/016264349601300102</w:t>
      </w:r>
    </w:p>
    <w:p w14:paraId="50548F71" w14:textId="77777777" w:rsidR="0064705E" w:rsidRPr="0064705E" w:rsidRDefault="0064705E" w:rsidP="0064705E">
      <w:pPr>
        <w:pStyle w:val="Bibliography"/>
      </w:pPr>
      <w:r w:rsidRPr="0064705E">
        <w:t xml:space="preserve">Messinger-Willman, J., &amp; Marino, M. T. (2010). Universal design for learning and assistive technology: Leadership considerations for promoting inclusive education in today’s secondary schools. </w:t>
      </w:r>
      <w:r w:rsidRPr="0064705E">
        <w:rPr>
          <w:i/>
          <w:iCs/>
        </w:rPr>
        <w:t>National Association of Secondary School Principals. NASSP Bulletin</w:t>
      </w:r>
      <w:r w:rsidRPr="0064705E">
        <w:t xml:space="preserve">, </w:t>
      </w:r>
      <w:r w:rsidRPr="0064705E">
        <w:rPr>
          <w:i/>
          <w:iCs/>
        </w:rPr>
        <w:t>94</w:t>
      </w:r>
      <w:r w:rsidRPr="0064705E">
        <w:t>(1), 5–16. Research Library: Business; Research Library: Health &amp; Medicine; Research Library: History; Research Library: Literature &amp; Language; Research Library: Science &amp; Technology; Research Library: Social Sciences; Research Library: The Arts. https://proquest.com/scholarly-journals/universal-design-learning-assistive-technology/docview/747526321/se-2</w:t>
      </w:r>
    </w:p>
    <w:p w14:paraId="570FBD16" w14:textId="77777777" w:rsidR="0064705E" w:rsidRPr="0064705E" w:rsidRDefault="0064705E" w:rsidP="0064705E">
      <w:pPr>
        <w:pStyle w:val="Bibliography"/>
      </w:pPr>
      <w:r w:rsidRPr="0064705E">
        <w:t xml:space="preserve">Moreno, G. (2022). Expanding definition of technology in special education: Impact of training on the adoption of iPad tablets by special educators. </w:t>
      </w:r>
      <w:r w:rsidRPr="0064705E">
        <w:rPr>
          <w:i/>
          <w:iCs/>
        </w:rPr>
        <w:t xml:space="preserve">International Journal of Disability, </w:t>
      </w:r>
      <w:r w:rsidRPr="0064705E">
        <w:rPr>
          <w:i/>
          <w:iCs/>
        </w:rPr>
        <w:lastRenderedPageBreak/>
        <w:t>Development and Education</w:t>
      </w:r>
      <w:r w:rsidRPr="0064705E">
        <w:t xml:space="preserve">, </w:t>
      </w:r>
      <w:r w:rsidRPr="0064705E">
        <w:rPr>
          <w:i/>
          <w:iCs/>
        </w:rPr>
        <w:t>69</w:t>
      </w:r>
      <w:r w:rsidRPr="0064705E">
        <w:t>(2), 722–738. ERIC. https://doi.org/10.1080/1034912X.2020.1731432</w:t>
      </w:r>
    </w:p>
    <w:p w14:paraId="11D5E96F" w14:textId="77777777" w:rsidR="0064705E" w:rsidRPr="0064705E" w:rsidRDefault="0064705E" w:rsidP="0064705E">
      <w:pPr>
        <w:pStyle w:val="Bibliography"/>
      </w:pPr>
      <w:r w:rsidRPr="0064705E">
        <w:t xml:space="preserve">Noonan, J. (2019). An affinity for learning: Teacher identity and powerful professional development. </w:t>
      </w:r>
      <w:r w:rsidRPr="0064705E">
        <w:rPr>
          <w:i/>
          <w:iCs/>
        </w:rPr>
        <w:t>Journal of Teacher Education</w:t>
      </w:r>
      <w:r w:rsidRPr="0064705E">
        <w:t xml:space="preserve">, </w:t>
      </w:r>
      <w:r w:rsidRPr="0064705E">
        <w:rPr>
          <w:i/>
          <w:iCs/>
        </w:rPr>
        <w:t>70</w:t>
      </w:r>
      <w:r w:rsidRPr="0064705E">
        <w:t>(5), 526–537. https://doi.org/10.1177/0022487118788838</w:t>
      </w:r>
    </w:p>
    <w:p w14:paraId="56690524" w14:textId="77777777" w:rsidR="0064705E" w:rsidRPr="0064705E" w:rsidRDefault="0064705E" w:rsidP="0064705E">
      <w:pPr>
        <w:pStyle w:val="Bibliography"/>
      </w:pPr>
      <w:r w:rsidRPr="0064705E">
        <w:t xml:space="preserve">O’Brien, C., Aguinaga, N. J., Hines, R., &amp; Hartshorne, R. (2011). Using contemporary technology tools to improve the effectiveness of teacher educators in special education. </w:t>
      </w:r>
      <w:r w:rsidRPr="0064705E">
        <w:rPr>
          <w:i/>
          <w:iCs/>
        </w:rPr>
        <w:t>Rural Special Education Quarterly</w:t>
      </w:r>
      <w:r w:rsidRPr="0064705E">
        <w:t xml:space="preserve">, </w:t>
      </w:r>
      <w:r w:rsidRPr="0064705E">
        <w:rPr>
          <w:i/>
          <w:iCs/>
        </w:rPr>
        <w:t>30</w:t>
      </w:r>
      <w:r w:rsidRPr="0064705E">
        <w:t>(3), 33–40. https://doi.org/10.1177/875687051103000305</w:t>
      </w:r>
    </w:p>
    <w:p w14:paraId="15F70A4D" w14:textId="77777777" w:rsidR="0064705E" w:rsidRPr="0064705E" w:rsidRDefault="0064705E" w:rsidP="0064705E">
      <w:pPr>
        <w:pStyle w:val="Bibliography"/>
      </w:pPr>
      <w:r w:rsidRPr="0064705E">
        <w:t xml:space="preserve">Olakanmi, O. A., Akcayir, G., Ishola, O. M., &amp; Demmans Epp, C. (2020). Using technology in special education: Current practices and trends. </w:t>
      </w:r>
      <w:r w:rsidRPr="0064705E">
        <w:rPr>
          <w:i/>
          <w:iCs/>
        </w:rPr>
        <w:t>Educational Technology Research and Development</w:t>
      </w:r>
      <w:r w:rsidRPr="0064705E">
        <w:t xml:space="preserve">, </w:t>
      </w:r>
      <w:r w:rsidRPr="0064705E">
        <w:rPr>
          <w:i/>
          <w:iCs/>
        </w:rPr>
        <w:t>68</w:t>
      </w:r>
      <w:r w:rsidRPr="0064705E">
        <w:t>(4), 1711–1738. https://doi.org/10.1007/s11423-020-09795-0</w:t>
      </w:r>
    </w:p>
    <w:p w14:paraId="4152E5BE" w14:textId="77777777" w:rsidR="0064705E" w:rsidRPr="0064705E" w:rsidRDefault="0064705E" w:rsidP="0064705E">
      <w:pPr>
        <w:pStyle w:val="Bibliography"/>
      </w:pPr>
      <w:r w:rsidRPr="0064705E">
        <w:t xml:space="preserve">Ottenbreit-Leftwich, A., Glazewski, K., &amp; Newby, T. (2010). Preservice technology integration course revision: A conceptual guide. </w:t>
      </w:r>
      <w:r w:rsidRPr="0064705E">
        <w:rPr>
          <w:i/>
          <w:iCs/>
        </w:rPr>
        <w:t>Journal of Technology and Teacher Education</w:t>
      </w:r>
      <w:r w:rsidRPr="0064705E">
        <w:t xml:space="preserve">, </w:t>
      </w:r>
      <w:r w:rsidRPr="0064705E">
        <w:rPr>
          <w:i/>
          <w:iCs/>
        </w:rPr>
        <w:t>18</w:t>
      </w:r>
      <w:r w:rsidRPr="0064705E">
        <w:t>(1), 5. Research Library.</w:t>
      </w:r>
    </w:p>
    <w:p w14:paraId="24448596" w14:textId="77777777" w:rsidR="0064705E" w:rsidRPr="0064705E" w:rsidRDefault="0064705E" w:rsidP="0064705E">
      <w:pPr>
        <w:pStyle w:val="Bibliography"/>
      </w:pPr>
      <w:r w:rsidRPr="0064705E">
        <w:t xml:space="preserve">Page, M. J., McKenzie, J. E., Bossuyt, P. M., Boutron, I., Hoffmann, T. C., Mulrow, C. D., Shamseer, L., Tetzlaff, J. M., Akl, E. A., Brennan, S. E., Chou, R., Glanville, J., Grimshaw, J. M., Hróbjartsson, A., Lalu, M. M., Li, T., Loder, E. W., Mayo-Wilson, E., McDonald, S., … Moher, D. (2021). The PRISMA 2020 statement: An updated guideline for reporting systematic reviews. </w:t>
      </w:r>
      <w:r w:rsidRPr="0064705E">
        <w:rPr>
          <w:i/>
          <w:iCs/>
        </w:rPr>
        <w:t>PLOS Medicine</w:t>
      </w:r>
      <w:r w:rsidRPr="0064705E">
        <w:t xml:space="preserve">, </w:t>
      </w:r>
      <w:r w:rsidRPr="0064705E">
        <w:rPr>
          <w:i/>
          <w:iCs/>
        </w:rPr>
        <w:t>18</w:t>
      </w:r>
      <w:r w:rsidRPr="0064705E">
        <w:t>(3), e1003583. https://doi.org/10.1371/journal.pmed.1003583</w:t>
      </w:r>
    </w:p>
    <w:p w14:paraId="73C5A3FB" w14:textId="77777777" w:rsidR="0064705E" w:rsidRPr="0064705E" w:rsidRDefault="0064705E" w:rsidP="0064705E">
      <w:pPr>
        <w:pStyle w:val="Bibliography"/>
      </w:pPr>
      <w:r w:rsidRPr="0064705E">
        <w:lastRenderedPageBreak/>
        <w:t xml:space="preserve">Rooks-Ellis, D. L., Ryan, J., Floyd, K., &amp; Sundeen, T. (2025). Assistive technology and rural settings: A scoping review of the literature. </w:t>
      </w:r>
      <w:r w:rsidRPr="0064705E">
        <w:rPr>
          <w:i/>
          <w:iCs/>
        </w:rPr>
        <w:t>Journal of Special Education Technology</w:t>
      </w:r>
      <w:r w:rsidRPr="0064705E">
        <w:t xml:space="preserve">, </w:t>
      </w:r>
      <w:r w:rsidRPr="0064705E">
        <w:rPr>
          <w:i/>
          <w:iCs/>
        </w:rPr>
        <w:t>40</w:t>
      </w:r>
      <w:r w:rsidRPr="0064705E">
        <w:t>(2), 138–151. https://doi.org/10.1177/01626434241289955</w:t>
      </w:r>
    </w:p>
    <w:p w14:paraId="0030C1E2" w14:textId="77777777" w:rsidR="0064705E" w:rsidRPr="0064705E" w:rsidRDefault="0064705E" w:rsidP="0064705E">
      <w:pPr>
        <w:pStyle w:val="Bibliography"/>
      </w:pPr>
      <w:r w:rsidRPr="0064705E">
        <w:t>S.1177 - 114th Congress (2015-2016): Every Student Succeeds Act (2015). https://www.govinfo.gov/app/details/COMPS-11851</w:t>
      </w:r>
    </w:p>
    <w:p w14:paraId="698AAB94" w14:textId="77777777" w:rsidR="0064705E" w:rsidRPr="0064705E" w:rsidRDefault="0064705E" w:rsidP="0064705E">
      <w:pPr>
        <w:pStyle w:val="Bibliography"/>
      </w:pPr>
      <w:r w:rsidRPr="0064705E">
        <w:t xml:space="preserve">Schaaf, D. N. (2018). Assistive technology instruction in teacher professional development. </w:t>
      </w:r>
      <w:r w:rsidRPr="0064705E">
        <w:rPr>
          <w:i/>
          <w:iCs/>
        </w:rPr>
        <w:t>Journal of Special Education Technology</w:t>
      </w:r>
      <w:r w:rsidRPr="0064705E">
        <w:t xml:space="preserve">, </w:t>
      </w:r>
      <w:r w:rsidRPr="0064705E">
        <w:rPr>
          <w:i/>
          <w:iCs/>
        </w:rPr>
        <w:t>33</w:t>
      </w:r>
      <w:r w:rsidRPr="0064705E">
        <w:t>(3), 171–181. ERIC. https://doi.org/10.1177/0162643417753561</w:t>
      </w:r>
    </w:p>
    <w:p w14:paraId="07E53A9E" w14:textId="77777777" w:rsidR="0064705E" w:rsidRPr="0064705E" w:rsidRDefault="0064705E" w:rsidP="0064705E">
      <w:pPr>
        <w:pStyle w:val="Bibliography"/>
      </w:pPr>
      <w:r w:rsidRPr="0064705E">
        <w:t xml:space="preserve">*Schmidt, M. M., Lin, M.-F. G., Paek, S., MacSuga-Gage, A., &amp; Gage, N. A. (2017). Implementing project SIED: Special education teachers’ perceptions of a simplified technology decision-making process for app identification and evaluation. </w:t>
      </w:r>
      <w:r w:rsidRPr="0064705E">
        <w:rPr>
          <w:i/>
          <w:iCs/>
        </w:rPr>
        <w:t>Journal of Special Education Technology</w:t>
      </w:r>
      <w:r w:rsidRPr="0064705E">
        <w:t xml:space="preserve">, </w:t>
      </w:r>
      <w:r w:rsidRPr="0064705E">
        <w:rPr>
          <w:i/>
          <w:iCs/>
        </w:rPr>
        <w:t>32</w:t>
      </w:r>
      <w:r w:rsidRPr="0064705E">
        <w:t>(1), 12–22. ERIC. https://doi.org/10.1177/0162643416681160</w:t>
      </w:r>
    </w:p>
    <w:p w14:paraId="000665D7" w14:textId="77777777" w:rsidR="0064705E" w:rsidRPr="0064705E" w:rsidRDefault="0064705E" w:rsidP="0064705E">
      <w:pPr>
        <w:pStyle w:val="Bibliography"/>
      </w:pPr>
      <w:r w:rsidRPr="0064705E">
        <w:t xml:space="preserve">Shaheen, N. L., &amp; Lohnes Watulak, S. (2019). Bringing disability into the discussion: Examining technology accessibility as an equity concern in the field of instructional technology. </w:t>
      </w:r>
      <w:r w:rsidRPr="0064705E">
        <w:rPr>
          <w:i/>
          <w:iCs/>
        </w:rPr>
        <w:t>Journal of Research on Technology in Education</w:t>
      </w:r>
      <w:r w:rsidRPr="0064705E">
        <w:t xml:space="preserve">, </w:t>
      </w:r>
      <w:r w:rsidRPr="0064705E">
        <w:rPr>
          <w:i/>
          <w:iCs/>
        </w:rPr>
        <w:t>51</w:t>
      </w:r>
      <w:r w:rsidRPr="0064705E">
        <w:t>(2), 187–201. https://doi.org/10.1080/15391523.2019.1566037</w:t>
      </w:r>
    </w:p>
    <w:p w14:paraId="107DA38E" w14:textId="77777777" w:rsidR="0064705E" w:rsidRPr="0064705E" w:rsidRDefault="0064705E" w:rsidP="0064705E">
      <w:pPr>
        <w:pStyle w:val="Bibliography"/>
      </w:pPr>
      <w:r w:rsidRPr="0064705E">
        <w:t xml:space="preserve">Smith, S. J., &amp; Okolo, C. (2010). Response to intervention and evidence-based practices: Where does technology fit? </w:t>
      </w:r>
      <w:r w:rsidRPr="0064705E">
        <w:rPr>
          <w:i/>
          <w:iCs/>
        </w:rPr>
        <w:t>Learning Disability Quarterly</w:t>
      </w:r>
      <w:r w:rsidRPr="0064705E">
        <w:t xml:space="preserve">, </w:t>
      </w:r>
      <w:r w:rsidRPr="0064705E">
        <w:rPr>
          <w:i/>
          <w:iCs/>
        </w:rPr>
        <w:t>33</w:t>
      </w:r>
      <w:r w:rsidRPr="0064705E">
        <w:t>(4), 257–272. https://doi.org/10.1177/073194871003300404</w:t>
      </w:r>
    </w:p>
    <w:p w14:paraId="3EF825C6" w14:textId="77777777" w:rsidR="0064705E" w:rsidRPr="0064705E" w:rsidRDefault="0064705E" w:rsidP="0064705E">
      <w:pPr>
        <w:pStyle w:val="Bibliography"/>
      </w:pPr>
      <w:r w:rsidRPr="0064705E">
        <w:t xml:space="preserve">*So, W. W. M., He, Q., Cheng, I. N. Y., Lee, T. T. H., &amp; Li, W. C. (2021). Teachers’ professional development with peer coaching to support students with intellectual disabilities in STEM learning. </w:t>
      </w:r>
      <w:r w:rsidRPr="0064705E">
        <w:rPr>
          <w:i/>
          <w:iCs/>
        </w:rPr>
        <w:t>Journal of Educational Technology &amp; Society</w:t>
      </w:r>
      <w:r w:rsidRPr="0064705E">
        <w:t xml:space="preserve">, </w:t>
      </w:r>
      <w:r w:rsidRPr="0064705E">
        <w:rPr>
          <w:i/>
          <w:iCs/>
        </w:rPr>
        <w:t>24</w:t>
      </w:r>
      <w:r w:rsidRPr="0064705E">
        <w:t>(4), 86–</w:t>
      </w:r>
      <w:r w:rsidRPr="0064705E">
        <w:lastRenderedPageBreak/>
        <w:t>98. APA PsycInfo®. https://www.proquest.com/docview/2583395670/abstract/54C39E56D7EC4A93PQ/1</w:t>
      </w:r>
    </w:p>
    <w:p w14:paraId="50CE0459" w14:textId="77777777" w:rsidR="0064705E" w:rsidRPr="0064705E" w:rsidRDefault="0064705E" w:rsidP="0064705E">
      <w:pPr>
        <w:pStyle w:val="Bibliography"/>
      </w:pPr>
      <w:r w:rsidRPr="0064705E">
        <w:t xml:space="preserve">Starks, A. C., &amp; Reich, S. M. (2023). “What about special ed?“: Barriers and enablers for teaching with technology in special education. </w:t>
      </w:r>
      <w:r w:rsidRPr="0064705E">
        <w:rPr>
          <w:i/>
          <w:iCs/>
        </w:rPr>
        <w:t>Computers &amp; Education</w:t>
      </w:r>
      <w:r w:rsidRPr="0064705E">
        <w:t xml:space="preserve">, </w:t>
      </w:r>
      <w:r w:rsidRPr="0064705E">
        <w:rPr>
          <w:i/>
          <w:iCs/>
        </w:rPr>
        <w:t>193</w:t>
      </w:r>
      <w:r w:rsidRPr="0064705E">
        <w:t>, 104665. https://doi.org/10.1016/j.compedu.2022.104665</w:t>
      </w:r>
    </w:p>
    <w:p w14:paraId="0A89B5C8" w14:textId="77777777" w:rsidR="0064705E" w:rsidRPr="0064705E" w:rsidRDefault="0064705E" w:rsidP="0064705E">
      <w:pPr>
        <w:pStyle w:val="Bibliography"/>
      </w:pPr>
      <w:r w:rsidRPr="0064705E">
        <w:t xml:space="preserve">Sundeen, T. H., &amp; Kalos, M. (2022). Rural educational leader perceptions of online learning for students with and without disabilities before and during the COVID-19 pandemic. </w:t>
      </w:r>
      <w:r w:rsidRPr="0064705E">
        <w:rPr>
          <w:i/>
          <w:iCs/>
        </w:rPr>
        <w:t>Theory &amp; Practice in Rural Education</w:t>
      </w:r>
      <w:r w:rsidRPr="0064705E">
        <w:t xml:space="preserve">, </w:t>
      </w:r>
      <w:r w:rsidRPr="0064705E">
        <w:rPr>
          <w:i/>
          <w:iCs/>
        </w:rPr>
        <w:t>12</w:t>
      </w:r>
      <w:r w:rsidRPr="0064705E">
        <w:t>(2), Article 2. https://doi.org/10.3776/tpre.2022.v12n2p105-128</w:t>
      </w:r>
    </w:p>
    <w:p w14:paraId="600F7F43" w14:textId="77777777" w:rsidR="0064705E" w:rsidRPr="0064705E" w:rsidRDefault="0064705E" w:rsidP="0064705E">
      <w:pPr>
        <w:pStyle w:val="Bibliography"/>
      </w:pPr>
      <w:r w:rsidRPr="0064705E">
        <w:t xml:space="preserve">Van Driel, J. H., Beijaard, D., &amp; Verloop, N. (2001). Professional development and reform in science education: The role of teachers’ practical knowledge. </w:t>
      </w:r>
      <w:r w:rsidRPr="0064705E">
        <w:rPr>
          <w:i/>
          <w:iCs/>
        </w:rPr>
        <w:t>Journal of Research in Science Teaching</w:t>
      </w:r>
      <w:r w:rsidRPr="0064705E">
        <w:t xml:space="preserve">, </w:t>
      </w:r>
      <w:r w:rsidRPr="0064705E">
        <w:rPr>
          <w:i/>
          <w:iCs/>
        </w:rPr>
        <w:t>38</w:t>
      </w:r>
      <w:r w:rsidRPr="0064705E">
        <w:t>(2), 137–158. https://doi.org/10.1002/1098-2736(200102)38:2&lt;137::aid-tea1001&gt;3.0.co;2-u</w:t>
      </w:r>
    </w:p>
    <w:p w14:paraId="4D9223BA" w14:textId="77777777" w:rsidR="0064705E" w:rsidRPr="0064705E" w:rsidRDefault="0064705E" w:rsidP="0064705E">
      <w:pPr>
        <w:pStyle w:val="Bibliography"/>
      </w:pPr>
      <w:r w:rsidRPr="0064705E">
        <w:t xml:space="preserve">Vescio, V., Ross, D., &amp; Adams, A. (2008). A review of research on the impact of professional learning communities on teaching practice and student learning. </w:t>
      </w:r>
      <w:r w:rsidRPr="0064705E">
        <w:rPr>
          <w:i/>
          <w:iCs/>
        </w:rPr>
        <w:t>Teaching and Teacher Education</w:t>
      </w:r>
      <w:r w:rsidRPr="0064705E">
        <w:t xml:space="preserve">, </w:t>
      </w:r>
      <w:r w:rsidRPr="0064705E">
        <w:rPr>
          <w:i/>
          <w:iCs/>
        </w:rPr>
        <w:t>24</w:t>
      </w:r>
      <w:r w:rsidRPr="0064705E">
        <w:t>(1), 80–91. https://doi.org/10.1016/j.tate.2007.01.004</w:t>
      </w:r>
    </w:p>
    <w:p w14:paraId="7A71701B" w14:textId="77777777" w:rsidR="0064705E" w:rsidRPr="0064705E" w:rsidRDefault="0064705E" w:rsidP="0064705E">
      <w:pPr>
        <w:pStyle w:val="Bibliography"/>
      </w:pPr>
      <w:r w:rsidRPr="0064705E">
        <w:t xml:space="preserve">*Weiss, M. P., Evmenova, A. S., Kennedy, M. J., &amp; Duke, J. M. (2016). Creating content acquisition podcasts (caps) for vocabulary: The intersection of content, pedagogy, and technology. </w:t>
      </w:r>
      <w:r w:rsidRPr="0064705E">
        <w:rPr>
          <w:i/>
          <w:iCs/>
        </w:rPr>
        <w:t>Journal of Special Education Technology</w:t>
      </w:r>
      <w:r w:rsidRPr="0064705E">
        <w:t xml:space="preserve">, </w:t>
      </w:r>
      <w:r w:rsidRPr="0064705E">
        <w:rPr>
          <w:i/>
          <w:iCs/>
        </w:rPr>
        <w:t>31</w:t>
      </w:r>
      <w:r w:rsidRPr="0064705E">
        <w:t>(4), 228–235. https://doi.org/10.1177/0162643416673916</w:t>
      </w:r>
    </w:p>
    <w:p w14:paraId="6CE6BE55" w14:textId="77777777" w:rsidR="0064705E" w:rsidRPr="0064705E" w:rsidRDefault="0064705E" w:rsidP="0064705E">
      <w:pPr>
        <w:pStyle w:val="Bibliography"/>
      </w:pPr>
      <w:r w:rsidRPr="0064705E">
        <w:t xml:space="preserve">Windfont, C. M. (2024). </w:t>
      </w:r>
      <w:r w:rsidRPr="0064705E">
        <w:rPr>
          <w:i/>
          <w:iCs/>
        </w:rPr>
        <w:t>Secondary special education teachers’ perception of technology integration and its use  in classroom instructions</w:t>
      </w:r>
      <w:r w:rsidRPr="0064705E">
        <w:t xml:space="preserve"> (2922240137) [Ed.D., Walden University]. ProQuest Dissertations &amp; Theses Global; Publicly Available Content </w:t>
      </w:r>
      <w:r w:rsidRPr="0064705E">
        <w:lastRenderedPageBreak/>
        <w:t>Database. https://proquest.com/dissertations-theses/secondary-special-education-teachers-perception/docview/2922240137/se-2</w:t>
      </w:r>
    </w:p>
    <w:p w14:paraId="6B20ACC0" w14:textId="2668FABF" w:rsidR="0064705E" w:rsidRPr="0064705E" w:rsidRDefault="0064705E" w:rsidP="0064705E">
      <w:pPr>
        <w:pStyle w:val="Bibliography"/>
      </w:pPr>
      <w:r w:rsidRPr="0064705E">
        <w:t xml:space="preserve">Wirth, P. A., Stile, S. W., &amp; Cole, J. T. (1982). The need for in-service training in instructional technology for special education personnel in small rural school districts. </w:t>
      </w:r>
      <w:r w:rsidRPr="0064705E">
        <w:rPr>
          <w:i/>
          <w:iCs/>
        </w:rPr>
        <w:t>Journal of Special Education Technology</w:t>
      </w:r>
      <w:r w:rsidRPr="0064705E">
        <w:t xml:space="preserve">, </w:t>
      </w:r>
      <w:r w:rsidRPr="0064705E">
        <w:rPr>
          <w:i/>
          <w:iCs/>
        </w:rPr>
        <w:t>6</w:t>
      </w:r>
      <w:r w:rsidRPr="0064705E">
        <w:t>(1), 25–29. https://doi.org/10.1177/016264348300600104</w:t>
      </w:r>
    </w:p>
    <w:p w14:paraId="5F9034EA" w14:textId="77777777" w:rsidR="0064705E" w:rsidRPr="0064705E" w:rsidRDefault="0064705E" w:rsidP="0064705E">
      <w:pPr>
        <w:pStyle w:val="Bibliography"/>
      </w:pPr>
      <w:r w:rsidRPr="0064705E">
        <w:t xml:space="preserve">Zhao, Y., &amp; Cziko, G. A. (2001). Teacher adoption of technology: A perceptual control theory perspective. </w:t>
      </w:r>
      <w:r w:rsidRPr="0064705E">
        <w:rPr>
          <w:i/>
          <w:iCs/>
        </w:rPr>
        <w:t>Journal of Technology and Teacher Education</w:t>
      </w:r>
      <w:r w:rsidRPr="0064705E">
        <w:t xml:space="preserve">, </w:t>
      </w:r>
      <w:r w:rsidRPr="0064705E">
        <w:rPr>
          <w:i/>
          <w:iCs/>
        </w:rPr>
        <w:t>9</w:t>
      </w:r>
      <w:r w:rsidRPr="0064705E">
        <w:t>(1), 5–30. http://www.learntechlib.org/p/8455</w:t>
      </w:r>
    </w:p>
    <w:p w14:paraId="522D6B0B" w14:textId="3A4AD5E4" w:rsidR="00B44FE7" w:rsidRDefault="000A2BF2" w:rsidP="0064705E">
      <w:pPr>
        <w:pStyle w:val="Bibliography"/>
      </w:pPr>
      <w:r>
        <w:fldChar w:fldCharType="end"/>
      </w:r>
    </w:p>
    <w:p w14:paraId="0AB41420" w14:textId="618F0902" w:rsidR="00B44FE7" w:rsidRDefault="00B44FE7"/>
    <w:sectPr w:rsidR="00B44FE7" w:rsidSect="0020011F">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3F0CB" w14:textId="77777777" w:rsidR="004B4EC2" w:rsidRDefault="004B4EC2">
      <w:pPr>
        <w:spacing w:line="240" w:lineRule="auto"/>
      </w:pPr>
      <w:r>
        <w:separator/>
      </w:r>
    </w:p>
    <w:p w14:paraId="495964A7" w14:textId="77777777" w:rsidR="004B4EC2" w:rsidRDefault="004B4EC2"/>
  </w:endnote>
  <w:endnote w:type="continuationSeparator" w:id="0">
    <w:p w14:paraId="47A2225B" w14:textId="77777777" w:rsidR="004B4EC2" w:rsidRDefault="004B4EC2">
      <w:pPr>
        <w:spacing w:line="240" w:lineRule="auto"/>
      </w:pPr>
      <w:r>
        <w:continuationSeparator/>
      </w:r>
    </w:p>
    <w:p w14:paraId="320CE9B5" w14:textId="77777777" w:rsidR="004B4EC2" w:rsidRDefault="004B4E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0DDFE" w14:textId="77777777" w:rsidR="004B4EC2" w:rsidRDefault="004B4EC2">
      <w:pPr>
        <w:spacing w:line="240" w:lineRule="auto"/>
      </w:pPr>
      <w:r>
        <w:separator/>
      </w:r>
    </w:p>
    <w:p w14:paraId="69C11B22" w14:textId="77777777" w:rsidR="004B4EC2" w:rsidRDefault="004B4EC2"/>
  </w:footnote>
  <w:footnote w:type="continuationSeparator" w:id="0">
    <w:p w14:paraId="5CE0BAA1" w14:textId="77777777" w:rsidR="004B4EC2" w:rsidRDefault="004B4EC2">
      <w:pPr>
        <w:spacing w:line="240" w:lineRule="auto"/>
      </w:pPr>
      <w:r>
        <w:continuationSeparator/>
      </w:r>
    </w:p>
    <w:p w14:paraId="3464A248" w14:textId="77777777" w:rsidR="004B4EC2" w:rsidRDefault="004B4E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33308188"/>
      <w:docPartObj>
        <w:docPartGallery w:val="Page Numbers (Top of Page)"/>
        <w:docPartUnique/>
      </w:docPartObj>
    </w:sdtPr>
    <w:sdtContent>
      <w:p w14:paraId="52169F93" w14:textId="6BDAB55E" w:rsidR="00770031" w:rsidRDefault="00770031" w:rsidP="00F3054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652E71" w14:textId="77777777" w:rsidR="00770031" w:rsidRDefault="00770031" w:rsidP="00E0546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9088340"/>
      <w:docPartObj>
        <w:docPartGallery w:val="Page Numbers (Top of Page)"/>
        <w:docPartUnique/>
      </w:docPartObj>
    </w:sdtPr>
    <w:sdtContent>
      <w:p w14:paraId="0BC4906E" w14:textId="02BB46F3" w:rsidR="00770031" w:rsidRDefault="00770031" w:rsidP="00F3054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2AA71D" w14:textId="573460AE" w:rsidR="00770031" w:rsidRDefault="00603190" w:rsidP="00603190">
    <w:pPr>
      <w:pStyle w:val="Header"/>
      <w:ind w:right="360"/>
    </w:pPr>
    <w:r>
      <w:t>DESCRIPTIVE REVIEW OF PD FOR TECH INTEGRATION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9093962"/>
      <w:docPartObj>
        <w:docPartGallery w:val="Page Numbers (Top of Page)"/>
        <w:docPartUnique/>
      </w:docPartObj>
    </w:sdtPr>
    <w:sdtContent>
      <w:p w14:paraId="04DD344D" w14:textId="77777777" w:rsidR="00D16C24" w:rsidRDefault="00D16C24" w:rsidP="00D16C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73E36F" w14:textId="3DD4E080" w:rsidR="00D16C24" w:rsidRDefault="00603190" w:rsidP="00603190">
    <w:pPr>
      <w:pStyle w:val="Header"/>
      <w:ind w:right="360"/>
    </w:pPr>
    <w:bookmarkStart w:id="20" w:name="_Hlk198862536"/>
    <w:r>
      <w:t>DESCRIPTIVE REVIEW OF PD FOR TECH INTEGRATION</w:t>
    </w:r>
    <w:bookmarkEnd w:id="20"/>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D4828" w14:textId="260EF5AE" w:rsidR="00C21FA2" w:rsidRPr="00D10E05" w:rsidRDefault="00806EA4" w:rsidP="00D10E05">
    <w:pPr>
      <w:pStyle w:val="Header"/>
      <w:ind w:right="360"/>
      <w:rPr>
        <w:caps/>
      </w:rPr>
    </w:pPr>
    <w:r>
      <w:t>EDTECH PD FOR SPED TEACHERS</w:t>
    </w:r>
    <w:r w:rsidRPr="003E1323">
      <w:t>: A REVIEW</w:t>
    </w:r>
    <w:sdt>
      <w:sdtPr>
        <w:rPr>
          <w:rStyle w:val="Strong"/>
        </w:rPr>
        <w:alias w:val="Running head"/>
        <w:tag w:val=""/>
        <w:id w:val="-858968264"/>
        <w:showingPlcHd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Pr>
            <w:rStyle w:val="Strong"/>
          </w:rPr>
          <w:t xml:space="preserve">     </w:t>
        </w:r>
      </w:sdtContent>
    </w:sdt>
    <w:r>
      <w:rPr>
        <w:rStyle w:val="Strong"/>
      </w:rPr>
      <w:t xml:space="preserve"> </w:t>
    </w:r>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Pr>
        <w:rStyle w:val="Strong"/>
      </w:rPr>
      <w:t>14</w:t>
    </w:r>
    <w:r>
      <w:rPr>
        <w:rStyle w:val="Strong"/>
        <w:noProof/>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D1CBA" w14:textId="1F15023A" w:rsidR="00C21FA2" w:rsidRDefault="00A30BA9" w:rsidP="00D10E05">
    <w:pPr>
      <w:pStyle w:val="Header"/>
      <w:ind w:right="360"/>
      <w:rPr>
        <w:rStyle w:val="Strong"/>
      </w:rPr>
    </w:pPr>
    <w:r>
      <w:t>EDTECH PD FOR SPED TEACHERS</w:t>
    </w:r>
    <w:r w:rsidRPr="003E1323">
      <w:t>: A REVIEW</w:t>
    </w:r>
    <w:sdt>
      <w:sdtPr>
        <w:rPr>
          <w:rStyle w:val="Strong"/>
        </w:rPr>
        <w:alias w:val="Running head"/>
        <w:tag w:val=""/>
        <w:id w:val="-696842620"/>
        <w:showingPlcHd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4930F6">
          <w:rPr>
            <w:rStyle w:val="Strong"/>
          </w:rPr>
          <w:t xml:space="preserve">     </w:t>
        </w:r>
      </w:sdtContent>
    </w:sdt>
    <w:r w:rsidR="00C21FA2">
      <w:rPr>
        <w:rStyle w:val="Strong"/>
      </w:rPr>
      <w:t xml:space="preserve"> </w:t>
    </w:r>
    <w:r w:rsidR="00C21FA2">
      <w:rPr>
        <w:rStyle w:val="Strong"/>
      </w:rPr>
      <w:ptab w:relativeTo="margin" w:alignment="right" w:leader="none"/>
    </w:r>
    <w:r w:rsidR="00C21FA2">
      <w:rPr>
        <w:rStyle w:val="Strong"/>
      </w:rPr>
      <w:fldChar w:fldCharType="begin"/>
    </w:r>
    <w:r w:rsidR="00C21FA2">
      <w:rPr>
        <w:rStyle w:val="Strong"/>
      </w:rPr>
      <w:instrText xml:space="preserve"> PAGE   \* MERGEFORMAT </w:instrText>
    </w:r>
    <w:r w:rsidR="00C21FA2">
      <w:rPr>
        <w:rStyle w:val="Strong"/>
      </w:rPr>
      <w:fldChar w:fldCharType="separate"/>
    </w:r>
    <w:r w:rsidR="00C21FA2">
      <w:rPr>
        <w:rStyle w:val="Strong"/>
        <w:noProof/>
      </w:rPr>
      <w:t>1</w:t>
    </w:r>
    <w:r w:rsidR="00C21FA2">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984C7A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0847F7C"/>
    <w:multiLevelType w:val="hybridMultilevel"/>
    <w:tmpl w:val="FDAA18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F8367C"/>
    <w:multiLevelType w:val="hybridMultilevel"/>
    <w:tmpl w:val="ECD2B460"/>
    <w:lvl w:ilvl="0" w:tplc="7D9C596A">
      <w:start w:val="1"/>
      <w:numFmt w:val="bullet"/>
      <w:lvlText w:val="•"/>
      <w:lvlJc w:val="left"/>
      <w:pPr>
        <w:tabs>
          <w:tab w:val="num" w:pos="720"/>
        </w:tabs>
        <w:ind w:left="720" w:hanging="360"/>
      </w:pPr>
      <w:rPr>
        <w:rFonts w:ascii="Arial" w:hAnsi="Arial" w:hint="default"/>
      </w:rPr>
    </w:lvl>
    <w:lvl w:ilvl="1" w:tplc="AD8A2EBA" w:tentative="1">
      <w:start w:val="1"/>
      <w:numFmt w:val="bullet"/>
      <w:lvlText w:val="•"/>
      <w:lvlJc w:val="left"/>
      <w:pPr>
        <w:tabs>
          <w:tab w:val="num" w:pos="1440"/>
        </w:tabs>
        <w:ind w:left="1440" w:hanging="360"/>
      </w:pPr>
      <w:rPr>
        <w:rFonts w:ascii="Arial" w:hAnsi="Arial" w:hint="default"/>
      </w:rPr>
    </w:lvl>
    <w:lvl w:ilvl="2" w:tplc="0472069C" w:tentative="1">
      <w:start w:val="1"/>
      <w:numFmt w:val="bullet"/>
      <w:lvlText w:val="•"/>
      <w:lvlJc w:val="left"/>
      <w:pPr>
        <w:tabs>
          <w:tab w:val="num" w:pos="2160"/>
        </w:tabs>
        <w:ind w:left="2160" w:hanging="360"/>
      </w:pPr>
      <w:rPr>
        <w:rFonts w:ascii="Arial" w:hAnsi="Arial" w:hint="default"/>
      </w:rPr>
    </w:lvl>
    <w:lvl w:ilvl="3" w:tplc="E7B80BBC" w:tentative="1">
      <w:start w:val="1"/>
      <w:numFmt w:val="bullet"/>
      <w:lvlText w:val="•"/>
      <w:lvlJc w:val="left"/>
      <w:pPr>
        <w:tabs>
          <w:tab w:val="num" w:pos="2880"/>
        </w:tabs>
        <w:ind w:left="2880" w:hanging="360"/>
      </w:pPr>
      <w:rPr>
        <w:rFonts w:ascii="Arial" w:hAnsi="Arial" w:hint="default"/>
      </w:rPr>
    </w:lvl>
    <w:lvl w:ilvl="4" w:tplc="7C4E446C" w:tentative="1">
      <w:start w:val="1"/>
      <w:numFmt w:val="bullet"/>
      <w:lvlText w:val="•"/>
      <w:lvlJc w:val="left"/>
      <w:pPr>
        <w:tabs>
          <w:tab w:val="num" w:pos="3600"/>
        </w:tabs>
        <w:ind w:left="3600" w:hanging="360"/>
      </w:pPr>
      <w:rPr>
        <w:rFonts w:ascii="Arial" w:hAnsi="Arial" w:hint="default"/>
      </w:rPr>
    </w:lvl>
    <w:lvl w:ilvl="5" w:tplc="6180C976" w:tentative="1">
      <w:start w:val="1"/>
      <w:numFmt w:val="bullet"/>
      <w:lvlText w:val="•"/>
      <w:lvlJc w:val="left"/>
      <w:pPr>
        <w:tabs>
          <w:tab w:val="num" w:pos="4320"/>
        </w:tabs>
        <w:ind w:left="4320" w:hanging="360"/>
      </w:pPr>
      <w:rPr>
        <w:rFonts w:ascii="Arial" w:hAnsi="Arial" w:hint="default"/>
      </w:rPr>
    </w:lvl>
    <w:lvl w:ilvl="6" w:tplc="32A67FAC" w:tentative="1">
      <w:start w:val="1"/>
      <w:numFmt w:val="bullet"/>
      <w:lvlText w:val="•"/>
      <w:lvlJc w:val="left"/>
      <w:pPr>
        <w:tabs>
          <w:tab w:val="num" w:pos="5040"/>
        </w:tabs>
        <w:ind w:left="5040" w:hanging="360"/>
      </w:pPr>
      <w:rPr>
        <w:rFonts w:ascii="Arial" w:hAnsi="Arial" w:hint="default"/>
      </w:rPr>
    </w:lvl>
    <w:lvl w:ilvl="7" w:tplc="7FE03440" w:tentative="1">
      <w:start w:val="1"/>
      <w:numFmt w:val="bullet"/>
      <w:lvlText w:val="•"/>
      <w:lvlJc w:val="left"/>
      <w:pPr>
        <w:tabs>
          <w:tab w:val="num" w:pos="5760"/>
        </w:tabs>
        <w:ind w:left="5760" w:hanging="360"/>
      </w:pPr>
      <w:rPr>
        <w:rFonts w:ascii="Arial" w:hAnsi="Arial" w:hint="default"/>
      </w:rPr>
    </w:lvl>
    <w:lvl w:ilvl="8" w:tplc="EF90EB3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C2C6EAC"/>
    <w:multiLevelType w:val="hybridMultilevel"/>
    <w:tmpl w:val="F81A8E80"/>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3" w15:restartNumberingAfterBreak="0">
    <w:nsid w:val="1C7F6F7C"/>
    <w:multiLevelType w:val="hybridMultilevel"/>
    <w:tmpl w:val="5BA4F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232DB9"/>
    <w:multiLevelType w:val="hybridMultilevel"/>
    <w:tmpl w:val="C646DDA0"/>
    <w:lvl w:ilvl="0" w:tplc="3AB6BC4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E0C3553"/>
    <w:multiLevelType w:val="hybridMultilevel"/>
    <w:tmpl w:val="CBE0E92E"/>
    <w:lvl w:ilvl="0" w:tplc="0F3CDE9E">
      <w:start w:val="1"/>
      <w:numFmt w:val="bullet"/>
      <w:lvlText w:val="•"/>
      <w:lvlJc w:val="left"/>
      <w:pPr>
        <w:tabs>
          <w:tab w:val="num" w:pos="720"/>
        </w:tabs>
        <w:ind w:left="720" w:hanging="360"/>
      </w:pPr>
      <w:rPr>
        <w:rFonts w:ascii="Arial" w:hAnsi="Arial" w:hint="default"/>
      </w:rPr>
    </w:lvl>
    <w:lvl w:ilvl="1" w:tplc="E10C39CE" w:tentative="1">
      <w:start w:val="1"/>
      <w:numFmt w:val="bullet"/>
      <w:lvlText w:val="•"/>
      <w:lvlJc w:val="left"/>
      <w:pPr>
        <w:tabs>
          <w:tab w:val="num" w:pos="1440"/>
        </w:tabs>
        <w:ind w:left="1440" w:hanging="360"/>
      </w:pPr>
      <w:rPr>
        <w:rFonts w:ascii="Arial" w:hAnsi="Arial" w:hint="default"/>
      </w:rPr>
    </w:lvl>
    <w:lvl w:ilvl="2" w:tplc="021A1016">
      <w:start w:val="1"/>
      <w:numFmt w:val="bullet"/>
      <w:lvlText w:val="•"/>
      <w:lvlJc w:val="left"/>
      <w:pPr>
        <w:tabs>
          <w:tab w:val="num" w:pos="2160"/>
        </w:tabs>
        <w:ind w:left="2160" w:hanging="360"/>
      </w:pPr>
      <w:rPr>
        <w:rFonts w:ascii="Arial" w:hAnsi="Arial" w:hint="default"/>
      </w:rPr>
    </w:lvl>
    <w:lvl w:ilvl="3" w:tplc="5AF61E1C" w:tentative="1">
      <w:start w:val="1"/>
      <w:numFmt w:val="bullet"/>
      <w:lvlText w:val="•"/>
      <w:lvlJc w:val="left"/>
      <w:pPr>
        <w:tabs>
          <w:tab w:val="num" w:pos="2880"/>
        </w:tabs>
        <w:ind w:left="2880" w:hanging="360"/>
      </w:pPr>
      <w:rPr>
        <w:rFonts w:ascii="Arial" w:hAnsi="Arial" w:hint="default"/>
      </w:rPr>
    </w:lvl>
    <w:lvl w:ilvl="4" w:tplc="6DA81EC4" w:tentative="1">
      <w:start w:val="1"/>
      <w:numFmt w:val="bullet"/>
      <w:lvlText w:val="•"/>
      <w:lvlJc w:val="left"/>
      <w:pPr>
        <w:tabs>
          <w:tab w:val="num" w:pos="3600"/>
        </w:tabs>
        <w:ind w:left="3600" w:hanging="360"/>
      </w:pPr>
      <w:rPr>
        <w:rFonts w:ascii="Arial" w:hAnsi="Arial" w:hint="default"/>
      </w:rPr>
    </w:lvl>
    <w:lvl w:ilvl="5" w:tplc="CD9EC4F2" w:tentative="1">
      <w:start w:val="1"/>
      <w:numFmt w:val="bullet"/>
      <w:lvlText w:val="•"/>
      <w:lvlJc w:val="left"/>
      <w:pPr>
        <w:tabs>
          <w:tab w:val="num" w:pos="4320"/>
        </w:tabs>
        <w:ind w:left="4320" w:hanging="360"/>
      </w:pPr>
      <w:rPr>
        <w:rFonts w:ascii="Arial" w:hAnsi="Arial" w:hint="default"/>
      </w:rPr>
    </w:lvl>
    <w:lvl w:ilvl="6" w:tplc="1B76C2E2" w:tentative="1">
      <w:start w:val="1"/>
      <w:numFmt w:val="bullet"/>
      <w:lvlText w:val="•"/>
      <w:lvlJc w:val="left"/>
      <w:pPr>
        <w:tabs>
          <w:tab w:val="num" w:pos="5040"/>
        </w:tabs>
        <w:ind w:left="5040" w:hanging="360"/>
      </w:pPr>
      <w:rPr>
        <w:rFonts w:ascii="Arial" w:hAnsi="Arial" w:hint="default"/>
      </w:rPr>
    </w:lvl>
    <w:lvl w:ilvl="7" w:tplc="CC427C68" w:tentative="1">
      <w:start w:val="1"/>
      <w:numFmt w:val="bullet"/>
      <w:lvlText w:val="•"/>
      <w:lvlJc w:val="left"/>
      <w:pPr>
        <w:tabs>
          <w:tab w:val="num" w:pos="5760"/>
        </w:tabs>
        <w:ind w:left="5760" w:hanging="360"/>
      </w:pPr>
      <w:rPr>
        <w:rFonts w:ascii="Arial" w:hAnsi="Arial" w:hint="default"/>
      </w:rPr>
    </w:lvl>
    <w:lvl w:ilvl="8" w:tplc="33F0DB3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EE247D7"/>
    <w:multiLevelType w:val="hybridMultilevel"/>
    <w:tmpl w:val="F9BC4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9E572D"/>
    <w:multiLevelType w:val="hybridMultilevel"/>
    <w:tmpl w:val="37425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7D694A"/>
    <w:multiLevelType w:val="hybridMultilevel"/>
    <w:tmpl w:val="FC701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8F0B03"/>
    <w:multiLevelType w:val="hybridMultilevel"/>
    <w:tmpl w:val="5522760E"/>
    <w:lvl w:ilvl="0" w:tplc="81B8CD92">
      <w:start w:val="1"/>
      <w:numFmt w:val="decimal"/>
      <w:lvlText w:val="(%1)"/>
      <w:lvlJc w:val="left"/>
      <w:pPr>
        <w:ind w:left="360" w:hanging="340"/>
      </w:pPr>
    </w:lvl>
    <w:lvl w:ilvl="1" w:tplc="EC5AEE8A">
      <w:start w:val="1"/>
      <w:numFmt w:val="decimal"/>
      <w:lvlText w:val="(%2)"/>
      <w:lvlJc w:val="left"/>
      <w:pPr>
        <w:ind w:left="700" w:hanging="340"/>
      </w:pPr>
    </w:lvl>
    <w:lvl w:ilvl="2" w:tplc="BF388124">
      <w:start w:val="1"/>
      <w:numFmt w:val="decimal"/>
      <w:lvlText w:val="(%3)"/>
      <w:lvlJc w:val="left"/>
      <w:pPr>
        <w:ind w:left="1040" w:hanging="340"/>
      </w:pPr>
    </w:lvl>
    <w:lvl w:ilvl="3" w:tplc="ACBC3110">
      <w:start w:val="1"/>
      <w:numFmt w:val="decimal"/>
      <w:lvlText w:val="(%4)"/>
      <w:lvlJc w:val="left"/>
      <w:pPr>
        <w:ind w:left="1380" w:hanging="340"/>
      </w:pPr>
    </w:lvl>
    <w:lvl w:ilvl="4" w:tplc="845C2C36">
      <w:start w:val="1"/>
      <w:numFmt w:val="decimal"/>
      <w:lvlText w:val="(%5)"/>
      <w:lvlJc w:val="left"/>
      <w:pPr>
        <w:ind w:left="1720" w:hanging="340"/>
      </w:pPr>
    </w:lvl>
    <w:lvl w:ilvl="5" w:tplc="99945852">
      <w:start w:val="1"/>
      <w:numFmt w:val="decimal"/>
      <w:lvlText w:val="(%6)"/>
      <w:lvlJc w:val="left"/>
      <w:pPr>
        <w:ind w:left="2060" w:hanging="340"/>
      </w:pPr>
    </w:lvl>
    <w:lvl w:ilvl="6" w:tplc="D534C5F0">
      <w:start w:val="1"/>
      <w:numFmt w:val="decimal"/>
      <w:lvlText w:val="(%7)"/>
      <w:lvlJc w:val="left"/>
      <w:pPr>
        <w:ind w:left="2400" w:hanging="340"/>
      </w:pPr>
    </w:lvl>
    <w:lvl w:ilvl="7" w:tplc="40D0DC9E">
      <w:start w:val="1"/>
      <w:numFmt w:val="decimal"/>
      <w:lvlText w:val="(%8)"/>
      <w:lvlJc w:val="left"/>
      <w:pPr>
        <w:ind w:left="2740" w:hanging="340"/>
      </w:pPr>
    </w:lvl>
    <w:lvl w:ilvl="8" w:tplc="3F565B30">
      <w:start w:val="1"/>
      <w:numFmt w:val="decimal"/>
      <w:lvlText w:val="(%9)"/>
      <w:lvlJc w:val="left"/>
      <w:pPr>
        <w:ind w:left="3080" w:hanging="340"/>
      </w:pPr>
    </w:lvl>
  </w:abstractNum>
  <w:num w:numId="1" w16cid:durableId="752897363">
    <w:abstractNumId w:val="12"/>
  </w:num>
  <w:num w:numId="2" w16cid:durableId="1199465926">
    <w:abstractNumId w:val="14"/>
  </w:num>
  <w:num w:numId="3" w16cid:durableId="1118261222">
    <w:abstractNumId w:val="9"/>
  </w:num>
  <w:num w:numId="4" w16cid:durableId="856508114">
    <w:abstractNumId w:val="7"/>
  </w:num>
  <w:num w:numId="5" w16cid:durableId="1000161308">
    <w:abstractNumId w:val="6"/>
  </w:num>
  <w:num w:numId="6" w16cid:durableId="1225023496">
    <w:abstractNumId w:val="5"/>
  </w:num>
  <w:num w:numId="7" w16cid:durableId="1968658490">
    <w:abstractNumId w:val="4"/>
  </w:num>
  <w:num w:numId="8" w16cid:durableId="727529472">
    <w:abstractNumId w:val="8"/>
  </w:num>
  <w:num w:numId="9" w16cid:durableId="672952678">
    <w:abstractNumId w:val="3"/>
  </w:num>
  <w:num w:numId="10" w16cid:durableId="1069351865">
    <w:abstractNumId w:val="2"/>
  </w:num>
  <w:num w:numId="11" w16cid:durableId="1193420118">
    <w:abstractNumId w:val="1"/>
  </w:num>
  <w:num w:numId="12" w16cid:durableId="1112361116">
    <w:abstractNumId w:val="0"/>
  </w:num>
  <w:num w:numId="13" w16cid:durableId="1796407679">
    <w:abstractNumId w:val="9"/>
    <w:lvlOverride w:ilvl="0">
      <w:startOverride w:val="1"/>
    </w:lvlOverride>
  </w:num>
  <w:num w:numId="14" w16cid:durableId="540098744">
    <w:abstractNumId w:val="11"/>
  </w:num>
  <w:num w:numId="15" w16cid:durableId="1101487861">
    <w:abstractNumId w:val="15"/>
  </w:num>
  <w:num w:numId="16" w16cid:durableId="422840650">
    <w:abstractNumId w:val="13"/>
  </w:num>
  <w:num w:numId="17" w16cid:durableId="1059982756">
    <w:abstractNumId w:val="10"/>
  </w:num>
  <w:num w:numId="18" w16cid:durableId="800348346">
    <w:abstractNumId w:val="16"/>
  </w:num>
  <w:num w:numId="19" w16cid:durableId="2059627658">
    <w:abstractNumId w:val="17"/>
  </w:num>
  <w:num w:numId="20" w16cid:durableId="1337923920">
    <w:abstractNumId w:val="18"/>
  </w:num>
  <w:num w:numId="21" w16cid:durableId="70274789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5DF"/>
    <w:rsid w:val="0000017F"/>
    <w:rsid w:val="000008C5"/>
    <w:rsid w:val="00000AA7"/>
    <w:rsid w:val="00001639"/>
    <w:rsid w:val="00004F06"/>
    <w:rsid w:val="0000551B"/>
    <w:rsid w:val="000062DE"/>
    <w:rsid w:val="000065EB"/>
    <w:rsid w:val="00007254"/>
    <w:rsid w:val="00010031"/>
    <w:rsid w:val="00010114"/>
    <w:rsid w:val="000103FD"/>
    <w:rsid w:val="000109F5"/>
    <w:rsid w:val="00011C63"/>
    <w:rsid w:val="000157EA"/>
    <w:rsid w:val="00017AB1"/>
    <w:rsid w:val="00020B8B"/>
    <w:rsid w:val="000210A2"/>
    <w:rsid w:val="00022D77"/>
    <w:rsid w:val="00027B20"/>
    <w:rsid w:val="000319E8"/>
    <w:rsid w:val="00033DFF"/>
    <w:rsid w:val="000346B5"/>
    <w:rsid w:val="00035644"/>
    <w:rsid w:val="0003593D"/>
    <w:rsid w:val="000369B0"/>
    <w:rsid w:val="00036ECD"/>
    <w:rsid w:val="00037433"/>
    <w:rsid w:val="00037726"/>
    <w:rsid w:val="000404FD"/>
    <w:rsid w:val="00044269"/>
    <w:rsid w:val="00051642"/>
    <w:rsid w:val="00053D13"/>
    <w:rsid w:val="00056154"/>
    <w:rsid w:val="00056AE1"/>
    <w:rsid w:val="00060928"/>
    <w:rsid w:val="00060E6D"/>
    <w:rsid w:val="00061D70"/>
    <w:rsid w:val="000630A3"/>
    <w:rsid w:val="000644EB"/>
    <w:rsid w:val="00065808"/>
    <w:rsid w:val="00065848"/>
    <w:rsid w:val="000705EC"/>
    <w:rsid w:val="00070640"/>
    <w:rsid w:val="000709F2"/>
    <w:rsid w:val="00072038"/>
    <w:rsid w:val="00075867"/>
    <w:rsid w:val="00077687"/>
    <w:rsid w:val="00081598"/>
    <w:rsid w:val="00082BA8"/>
    <w:rsid w:val="0008422B"/>
    <w:rsid w:val="00086612"/>
    <w:rsid w:val="00090BD4"/>
    <w:rsid w:val="000938F5"/>
    <w:rsid w:val="00093E89"/>
    <w:rsid w:val="00094AFE"/>
    <w:rsid w:val="00095B17"/>
    <w:rsid w:val="00096BF9"/>
    <w:rsid w:val="00097647"/>
    <w:rsid w:val="000A03DD"/>
    <w:rsid w:val="000A1255"/>
    <w:rsid w:val="000A1770"/>
    <w:rsid w:val="000A2196"/>
    <w:rsid w:val="000A2BF2"/>
    <w:rsid w:val="000A3AE3"/>
    <w:rsid w:val="000A3D4A"/>
    <w:rsid w:val="000A75EB"/>
    <w:rsid w:val="000B0209"/>
    <w:rsid w:val="000B0D82"/>
    <w:rsid w:val="000C01E6"/>
    <w:rsid w:val="000C1360"/>
    <w:rsid w:val="000C1C90"/>
    <w:rsid w:val="000C3E2C"/>
    <w:rsid w:val="000C715B"/>
    <w:rsid w:val="000D4712"/>
    <w:rsid w:val="000D7B6A"/>
    <w:rsid w:val="000D7F60"/>
    <w:rsid w:val="000E154F"/>
    <w:rsid w:val="000E3623"/>
    <w:rsid w:val="000E4248"/>
    <w:rsid w:val="000E4DE4"/>
    <w:rsid w:val="000E66A1"/>
    <w:rsid w:val="000E6EA6"/>
    <w:rsid w:val="000F180A"/>
    <w:rsid w:val="000F2543"/>
    <w:rsid w:val="000F5724"/>
    <w:rsid w:val="000F5C4F"/>
    <w:rsid w:val="000F62F1"/>
    <w:rsid w:val="000F77DE"/>
    <w:rsid w:val="000F7905"/>
    <w:rsid w:val="00101689"/>
    <w:rsid w:val="001029D1"/>
    <w:rsid w:val="001041B9"/>
    <w:rsid w:val="00104568"/>
    <w:rsid w:val="001061F9"/>
    <w:rsid w:val="001114DE"/>
    <w:rsid w:val="0011162F"/>
    <w:rsid w:val="00111E6D"/>
    <w:rsid w:val="00120950"/>
    <w:rsid w:val="00121405"/>
    <w:rsid w:val="00121C50"/>
    <w:rsid w:val="00123B84"/>
    <w:rsid w:val="001240AB"/>
    <w:rsid w:val="00125813"/>
    <w:rsid w:val="001264F1"/>
    <w:rsid w:val="001302E7"/>
    <w:rsid w:val="00130EEE"/>
    <w:rsid w:val="001325E6"/>
    <w:rsid w:val="00133367"/>
    <w:rsid w:val="00133959"/>
    <w:rsid w:val="00134C5F"/>
    <w:rsid w:val="001351FF"/>
    <w:rsid w:val="001370BF"/>
    <w:rsid w:val="0013748E"/>
    <w:rsid w:val="0014022A"/>
    <w:rsid w:val="001402A1"/>
    <w:rsid w:val="00140D76"/>
    <w:rsid w:val="0014373F"/>
    <w:rsid w:val="00145D4C"/>
    <w:rsid w:val="00146053"/>
    <w:rsid w:val="00146273"/>
    <w:rsid w:val="001473FC"/>
    <w:rsid w:val="001516B9"/>
    <w:rsid w:val="00152E8E"/>
    <w:rsid w:val="00153851"/>
    <w:rsid w:val="00153958"/>
    <w:rsid w:val="00154D83"/>
    <w:rsid w:val="00155473"/>
    <w:rsid w:val="0015601F"/>
    <w:rsid w:val="00156DDC"/>
    <w:rsid w:val="00157BC8"/>
    <w:rsid w:val="00157BE2"/>
    <w:rsid w:val="001603FD"/>
    <w:rsid w:val="00160B0B"/>
    <w:rsid w:val="00160CA8"/>
    <w:rsid w:val="00161985"/>
    <w:rsid w:val="00163054"/>
    <w:rsid w:val="001645BA"/>
    <w:rsid w:val="00164CD0"/>
    <w:rsid w:val="00166078"/>
    <w:rsid w:val="00167F63"/>
    <w:rsid w:val="00175C3C"/>
    <w:rsid w:val="001762B9"/>
    <w:rsid w:val="00180290"/>
    <w:rsid w:val="001819C2"/>
    <w:rsid w:val="0018797C"/>
    <w:rsid w:val="00191A2F"/>
    <w:rsid w:val="001933FF"/>
    <w:rsid w:val="00193CE1"/>
    <w:rsid w:val="001A171A"/>
    <w:rsid w:val="001A374A"/>
    <w:rsid w:val="001A37FD"/>
    <w:rsid w:val="001A4C7C"/>
    <w:rsid w:val="001A526E"/>
    <w:rsid w:val="001A6ACB"/>
    <w:rsid w:val="001B00AE"/>
    <w:rsid w:val="001B1721"/>
    <w:rsid w:val="001B7EA4"/>
    <w:rsid w:val="001C191D"/>
    <w:rsid w:val="001C1BAC"/>
    <w:rsid w:val="001C5912"/>
    <w:rsid w:val="001D52CE"/>
    <w:rsid w:val="001D5AE0"/>
    <w:rsid w:val="001D7AC3"/>
    <w:rsid w:val="001E0FD8"/>
    <w:rsid w:val="001E11C2"/>
    <w:rsid w:val="001E7662"/>
    <w:rsid w:val="001F0D15"/>
    <w:rsid w:val="001F1228"/>
    <w:rsid w:val="001F2843"/>
    <w:rsid w:val="001F3D51"/>
    <w:rsid w:val="001F7B1D"/>
    <w:rsid w:val="0020011F"/>
    <w:rsid w:val="0020057C"/>
    <w:rsid w:val="002032E9"/>
    <w:rsid w:val="00204297"/>
    <w:rsid w:val="0020545E"/>
    <w:rsid w:val="00212694"/>
    <w:rsid w:val="00212711"/>
    <w:rsid w:val="00222AB5"/>
    <w:rsid w:val="00223868"/>
    <w:rsid w:val="00226259"/>
    <w:rsid w:val="00226F2B"/>
    <w:rsid w:val="00230D82"/>
    <w:rsid w:val="002323B4"/>
    <w:rsid w:val="0023274E"/>
    <w:rsid w:val="00232A6B"/>
    <w:rsid w:val="00240823"/>
    <w:rsid w:val="00240BCC"/>
    <w:rsid w:val="0024195F"/>
    <w:rsid w:val="00242C64"/>
    <w:rsid w:val="00244A91"/>
    <w:rsid w:val="00245CEC"/>
    <w:rsid w:val="00254C0D"/>
    <w:rsid w:val="00254C42"/>
    <w:rsid w:val="00256441"/>
    <w:rsid w:val="00257B12"/>
    <w:rsid w:val="00260308"/>
    <w:rsid w:val="00260E61"/>
    <w:rsid w:val="002611BD"/>
    <w:rsid w:val="00262EE7"/>
    <w:rsid w:val="00263D36"/>
    <w:rsid w:val="00264F59"/>
    <w:rsid w:val="00265668"/>
    <w:rsid w:val="0026669C"/>
    <w:rsid w:val="00266ACE"/>
    <w:rsid w:val="002701D8"/>
    <w:rsid w:val="00271B63"/>
    <w:rsid w:val="00277BF8"/>
    <w:rsid w:val="00280CD0"/>
    <w:rsid w:val="00280CF7"/>
    <w:rsid w:val="0028174B"/>
    <w:rsid w:val="00281B45"/>
    <w:rsid w:val="00282D6D"/>
    <w:rsid w:val="002924AF"/>
    <w:rsid w:val="00292A02"/>
    <w:rsid w:val="002933DA"/>
    <w:rsid w:val="0029359A"/>
    <w:rsid w:val="00293B47"/>
    <w:rsid w:val="00293EA1"/>
    <w:rsid w:val="002943CA"/>
    <w:rsid w:val="00295CC5"/>
    <w:rsid w:val="0029709A"/>
    <w:rsid w:val="002971E4"/>
    <w:rsid w:val="00297A85"/>
    <w:rsid w:val="002A1DA4"/>
    <w:rsid w:val="002A401C"/>
    <w:rsid w:val="002B0CED"/>
    <w:rsid w:val="002B1354"/>
    <w:rsid w:val="002B1465"/>
    <w:rsid w:val="002C154A"/>
    <w:rsid w:val="002C435D"/>
    <w:rsid w:val="002C5AA9"/>
    <w:rsid w:val="002C7111"/>
    <w:rsid w:val="002D0938"/>
    <w:rsid w:val="002D22A5"/>
    <w:rsid w:val="002D33B4"/>
    <w:rsid w:val="002D3F2E"/>
    <w:rsid w:val="002D4AA1"/>
    <w:rsid w:val="002D5FAC"/>
    <w:rsid w:val="002D687A"/>
    <w:rsid w:val="00302714"/>
    <w:rsid w:val="00303619"/>
    <w:rsid w:val="003053CC"/>
    <w:rsid w:val="00307964"/>
    <w:rsid w:val="00310141"/>
    <w:rsid w:val="00310C90"/>
    <w:rsid w:val="00311856"/>
    <w:rsid w:val="003133EC"/>
    <w:rsid w:val="00315FC1"/>
    <w:rsid w:val="00316465"/>
    <w:rsid w:val="00317456"/>
    <w:rsid w:val="003178FC"/>
    <w:rsid w:val="00321D59"/>
    <w:rsid w:val="0032337E"/>
    <w:rsid w:val="00325675"/>
    <w:rsid w:val="003267F8"/>
    <w:rsid w:val="00330C3A"/>
    <w:rsid w:val="00331B0D"/>
    <w:rsid w:val="00332169"/>
    <w:rsid w:val="0033293E"/>
    <w:rsid w:val="00337C47"/>
    <w:rsid w:val="00341093"/>
    <w:rsid w:val="00342787"/>
    <w:rsid w:val="003448B1"/>
    <w:rsid w:val="0034557C"/>
    <w:rsid w:val="00353DF9"/>
    <w:rsid w:val="00354D6A"/>
    <w:rsid w:val="00356369"/>
    <w:rsid w:val="0035723B"/>
    <w:rsid w:val="00360C37"/>
    <w:rsid w:val="00363B65"/>
    <w:rsid w:val="00364CD6"/>
    <w:rsid w:val="00366265"/>
    <w:rsid w:val="00366686"/>
    <w:rsid w:val="003666C8"/>
    <w:rsid w:val="00366998"/>
    <w:rsid w:val="0036732C"/>
    <w:rsid w:val="003721F0"/>
    <w:rsid w:val="0037247E"/>
    <w:rsid w:val="0037328C"/>
    <w:rsid w:val="00373C41"/>
    <w:rsid w:val="00374F7E"/>
    <w:rsid w:val="00376090"/>
    <w:rsid w:val="00381A79"/>
    <w:rsid w:val="00382A6B"/>
    <w:rsid w:val="00386F72"/>
    <w:rsid w:val="00390390"/>
    <w:rsid w:val="00391365"/>
    <w:rsid w:val="003927E5"/>
    <w:rsid w:val="00396D78"/>
    <w:rsid w:val="003A2023"/>
    <w:rsid w:val="003A2C17"/>
    <w:rsid w:val="003A3850"/>
    <w:rsid w:val="003A4CB7"/>
    <w:rsid w:val="003A57DA"/>
    <w:rsid w:val="003A6EDE"/>
    <w:rsid w:val="003A7C55"/>
    <w:rsid w:val="003B3384"/>
    <w:rsid w:val="003B456E"/>
    <w:rsid w:val="003B6335"/>
    <w:rsid w:val="003B6358"/>
    <w:rsid w:val="003C55AA"/>
    <w:rsid w:val="003C7385"/>
    <w:rsid w:val="003D1AEF"/>
    <w:rsid w:val="003D24E3"/>
    <w:rsid w:val="003D4B1C"/>
    <w:rsid w:val="003D7366"/>
    <w:rsid w:val="003E0239"/>
    <w:rsid w:val="003E1323"/>
    <w:rsid w:val="003E2A61"/>
    <w:rsid w:val="003E2A8C"/>
    <w:rsid w:val="003E39C8"/>
    <w:rsid w:val="003E6797"/>
    <w:rsid w:val="003E7A64"/>
    <w:rsid w:val="003E7D4D"/>
    <w:rsid w:val="003F0A8F"/>
    <w:rsid w:val="003F4BCB"/>
    <w:rsid w:val="003F532D"/>
    <w:rsid w:val="003F5397"/>
    <w:rsid w:val="003F65F5"/>
    <w:rsid w:val="003F6A78"/>
    <w:rsid w:val="00402AE4"/>
    <w:rsid w:val="004033C4"/>
    <w:rsid w:val="00403D84"/>
    <w:rsid w:val="00405EFF"/>
    <w:rsid w:val="004061F7"/>
    <w:rsid w:val="004067B2"/>
    <w:rsid w:val="00407D7F"/>
    <w:rsid w:val="00413B8B"/>
    <w:rsid w:val="004152E4"/>
    <w:rsid w:val="00415BE7"/>
    <w:rsid w:val="00417507"/>
    <w:rsid w:val="00417A62"/>
    <w:rsid w:val="00417AA4"/>
    <w:rsid w:val="00421207"/>
    <w:rsid w:val="00425392"/>
    <w:rsid w:val="00425E8C"/>
    <w:rsid w:val="00427866"/>
    <w:rsid w:val="004328A6"/>
    <w:rsid w:val="004344A6"/>
    <w:rsid w:val="00434D33"/>
    <w:rsid w:val="004377C1"/>
    <w:rsid w:val="0044058D"/>
    <w:rsid w:val="0044513E"/>
    <w:rsid w:val="00445163"/>
    <w:rsid w:val="004460BA"/>
    <w:rsid w:val="004473FB"/>
    <w:rsid w:val="00447653"/>
    <w:rsid w:val="004517DA"/>
    <w:rsid w:val="00451D3C"/>
    <w:rsid w:val="00455326"/>
    <w:rsid w:val="0046146E"/>
    <w:rsid w:val="004624D1"/>
    <w:rsid w:val="0046636F"/>
    <w:rsid w:val="004703FF"/>
    <w:rsid w:val="00470AB2"/>
    <w:rsid w:val="00473BDB"/>
    <w:rsid w:val="00473E28"/>
    <w:rsid w:val="00473FED"/>
    <w:rsid w:val="00474F60"/>
    <w:rsid w:val="00476356"/>
    <w:rsid w:val="0048030D"/>
    <w:rsid w:val="00480CED"/>
    <w:rsid w:val="00480DD4"/>
    <w:rsid w:val="0048336A"/>
    <w:rsid w:val="00483745"/>
    <w:rsid w:val="00483A33"/>
    <w:rsid w:val="00485B7C"/>
    <w:rsid w:val="00485EB2"/>
    <w:rsid w:val="00490278"/>
    <w:rsid w:val="00490C20"/>
    <w:rsid w:val="004930F6"/>
    <w:rsid w:val="00496960"/>
    <w:rsid w:val="0049727F"/>
    <w:rsid w:val="004A4287"/>
    <w:rsid w:val="004A7F73"/>
    <w:rsid w:val="004B277B"/>
    <w:rsid w:val="004B481B"/>
    <w:rsid w:val="004B4EC2"/>
    <w:rsid w:val="004B6BD4"/>
    <w:rsid w:val="004C045F"/>
    <w:rsid w:val="004C0B77"/>
    <w:rsid w:val="004C3242"/>
    <w:rsid w:val="004C39F7"/>
    <w:rsid w:val="004C4A9E"/>
    <w:rsid w:val="004C538D"/>
    <w:rsid w:val="004C5F41"/>
    <w:rsid w:val="004C75AF"/>
    <w:rsid w:val="004D07C8"/>
    <w:rsid w:val="004D121D"/>
    <w:rsid w:val="004D3880"/>
    <w:rsid w:val="004D38D6"/>
    <w:rsid w:val="004D428A"/>
    <w:rsid w:val="004D5CBD"/>
    <w:rsid w:val="004D65B3"/>
    <w:rsid w:val="004D6CB1"/>
    <w:rsid w:val="004E3DE4"/>
    <w:rsid w:val="004E4019"/>
    <w:rsid w:val="004E4B41"/>
    <w:rsid w:val="004E58C4"/>
    <w:rsid w:val="004E644D"/>
    <w:rsid w:val="004F0981"/>
    <w:rsid w:val="004F0BD2"/>
    <w:rsid w:val="004F0C06"/>
    <w:rsid w:val="004F1E36"/>
    <w:rsid w:val="00500FE4"/>
    <w:rsid w:val="00501F55"/>
    <w:rsid w:val="00501F7F"/>
    <w:rsid w:val="00503527"/>
    <w:rsid w:val="00503CF9"/>
    <w:rsid w:val="00503F20"/>
    <w:rsid w:val="00504DDF"/>
    <w:rsid w:val="0050536E"/>
    <w:rsid w:val="00507232"/>
    <w:rsid w:val="00511FAB"/>
    <w:rsid w:val="00512072"/>
    <w:rsid w:val="005126E4"/>
    <w:rsid w:val="00516988"/>
    <w:rsid w:val="0051786E"/>
    <w:rsid w:val="00523226"/>
    <w:rsid w:val="005234AD"/>
    <w:rsid w:val="00523BC0"/>
    <w:rsid w:val="00525486"/>
    <w:rsid w:val="0052713A"/>
    <w:rsid w:val="00527AC3"/>
    <w:rsid w:val="005309B2"/>
    <w:rsid w:val="00530A62"/>
    <w:rsid w:val="00530DC7"/>
    <w:rsid w:val="00531DA9"/>
    <w:rsid w:val="00532A2E"/>
    <w:rsid w:val="00540EE9"/>
    <w:rsid w:val="00544B33"/>
    <w:rsid w:val="00554501"/>
    <w:rsid w:val="00555B56"/>
    <w:rsid w:val="0055723D"/>
    <w:rsid w:val="00557306"/>
    <w:rsid w:val="00561322"/>
    <w:rsid w:val="005613F4"/>
    <w:rsid w:val="005622EA"/>
    <w:rsid w:val="0056536C"/>
    <w:rsid w:val="00566ABD"/>
    <w:rsid w:val="00570A65"/>
    <w:rsid w:val="00571878"/>
    <w:rsid w:val="00571BC4"/>
    <w:rsid w:val="0057276D"/>
    <w:rsid w:val="00572B2E"/>
    <w:rsid w:val="00572D90"/>
    <w:rsid w:val="00573F5F"/>
    <w:rsid w:val="0057524F"/>
    <w:rsid w:val="00575812"/>
    <w:rsid w:val="00577BBE"/>
    <w:rsid w:val="00580D3B"/>
    <w:rsid w:val="00581152"/>
    <w:rsid w:val="0058362F"/>
    <w:rsid w:val="00585B7B"/>
    <w:rsid w:val="0058652E"/>
    <w:rsid w:val="00587064"/>
    <w:rsid w:val="005949C4"/>
    <w:rsid w:val="005959D6"/>
    <w:rsid w:val="00595E14"/>
    <w:rsid w:val="00597BE2"/>
    <w:rsid w:val="005A0A11"/>
    <w:rsid w:val="005A1BDB"/>
    <w:rsid w:val="005A5A9F"/>
    <w:rsid w:val="005A5F0A"/>
    <w:rsid w:val="005A5F7E"/>
    <w:rsid w:val="005A7408"/>
    <w:rsid w:val="005A7B79"/>
    <w:rsid w:val="005B129D"/>
    <w:rsid w:val="005B2D3B"/>
    <w:rsid w:val="005B4517"/>
    <w:rsid w:val="005B54CD"/>
    <w:rsid w:val="005B6063"/>
    <w:rsid w:val="005B64D9"/>
    <w:rsid w:val="005B6A26"/>
    <w:rsid w:val="005C3772"/>
    <w:rsid w:val="005C59F8"/>
    <w:rsid w:val="005C6EB5"/>
    <w:rsid w:val="005D01A1"/>
    <w:rsid w:val="005D0DD8"/>
    <w:rsid w:val="005D1343"/>
    <w:rsid w:val="005D3609"/>
    <w:rsid w:val="005D3A8D"/>
    <w:rsid w:val="005D4C93"/>
    <w:rsid w:val="005D6B0F"/>
    <w:rsid w:val="005D7B25"/>
    <w:rsid w:val="005D7B93"/>
    <w:rsid w:val="005D7D17"/>
    <w:rsid w:val="005E0BAA"/>
    <w:rsid w:val="005E2A1E"/>
    <w:rsid w:val="005E58FC"/>
    <w:rsid w:val="005E5EEF"/>
    <w:rsid w:val="005E7295"/>
    <w:rsid w:val="005F0139"/>
    <w:rsid w:val="005F0576"/>
    <w:rsid w:val="005F12A5"/>
    <w:rsid w:val="005F2E78"/>
    <w:rsid w:val="005F3722"/>
    <w:rsid w:val="005F4CBE"/>
    <w:rsid w:val="005F758A"/>
    <w:rsid w:val="005F7A01"/>
    <w:rsid w:val="006020B3"/>
    <w:rsid w:val="00602121"/>
    <w:rsid w:val="00603190"/>
    <w:rsid w:val="006038B7"/>
    <w:rsid w:val="0060515B"/>
    <w:rsid w:val="006072C4"/>
    <w:rsid w:val="00611FC0"/>
    <w:rsid w:val="006157B5"/>
    <w:rsid w:val="0061601B"/>
    <w:rsid w:val="006208CC"/>
    <w:rsid w:val="00623FBE"/>
    <w:rsid w:val="00627277"/>
    <w:rsid w:val="006279DD"/>
    <w:rsid w:val="006303BE"/>
    <w:rsid w:val="00630A8B"/>
    <w:rsid w:val="00632980"/>
    <w:rsid w:val="00634DC2"/>
    <w:rsid w:val="00637DCD"/>
    <w:rsid w:val="006404BA"/>
    <w:rsid w:val="00641352"/>
    <w:rsid w:val="00641E12"/>
    <w:rsid w:val="00642C3A"/>
    <w:rsid w:val="0064402F"/>
    <w:rsid w:val="006466B2"/>
    <w:rsid w:val="0064705E"/>
    <w:rsid w:val="00650547"/>
    <w:rsid w:val="00650885"/>
    <w:rsid w:val="00655121"/>
    <w:rsid w:val="00661177"/>
    <w:rsid w:val="0066363D"/>
    <w:rsid w:val="00663682"/>
    <w:rsid w:val="00667367"/>
    <w:rsid w:val="0067029C"/>
    <w:rsid w:val="00672250"/>
    <w:rsid w:val="0067350F"/>
    <w:rsid w:val="0067495A"/>
    <w:rsid w:val="00674D11"/>
    <w:rsid w:val="00677050"/>
    <w:rsid w:val="00680AB4"/>
    <w:rsid w:val="00680B11"/>
    <w:rsid w:val="00680D38"/>
    <w:rsid w:val="00680E6B"/>
    <w:rsid w:val="00682D6F"/>
    <w:rsid w:val="00692540"/>
    <w:rsid w:val="00692790"/>
    <w:rsid w:val="00693972"/>
    <w:rsid w:val="00697C49"/>
    <w:rsid w:val="006A1732"/>
    <w:rsid w:val="006A206C"/>
    <w:rsid w:val="006A3728"/>
    <w:rsid w:val="006A3F77"/>
    <w:rsid w:val="006A626F"/>
    <w:rsid w:val="006A647B"/>
    <w:rsid w:val="006B2759"/>
    <w:rsid w:val="006B2F6C"/>
    <w:rsid w:val="006B3DF3"/>
    <w:rsid w:val="006B58F4"/>
    <w:rsid w:val="006B59C2"/>
    <w:rsid w:val="006B5C54"/>
    <w:rsid w:val="006B7073"/>
    <w:rsid w:val="006B7B50"/>
    <w:rsid w:val="006C06ED"/>
    <w:rsid w:val="006C1164"/>
    <w:rsid w:val="006C2D2F"/>
    <w:rsid w:val="006C3418"/>
    <w:rsid w:val="006C4466"/>
    <w:rsid w:val="006C49E4"/>
    <w:rsid w:val="006C67C6"/>
    <w:rsid w:val="006C6806"/>
    <w:rsid w:val="006C7C25"/>
    <w:rsid w:val="006D014F"/>
    <w:rsid w:val="006D19F3"/>
    <w:rsid w:val="006D211D"/>
    <w:rsid w:val="006D728D"/>
    <w:rsid w:val="006E3C41"/>
    <w:rsid w:val="006E40F4"/>
    <w:rsid w:val="006E4D8D"/>
    <w:rsid w:val="006E6124"/>
    <w:rsid w:val="006E7FE0"/>
    <w:rsid w:val="006F0954"/>
    <w:rsid w:val="006F1B0F"/>
    <w:rsid w:val="006F4E70"/>
    <w:rsid w:val="006F5806"/>
    <w:rsid w:val="006F6776"/>
    <w:rsid w:val="00712A5B"/>
    <w:rsid w:val="007141C3"/>
    <w:rsid w:val="007146DD"/>
    <w:rsid w:val="00714BF5"/>
    <w:rsid w:val="0071613F"/>
    <w:rsid w:val="00716368"/>
    <w:rsid w:val="0071750E"/>
    <w:rsid w:val="00720B33"/>
    <w:rsid w:val="0072178A"/>
    <w:rsid w:val="00721E36"/>
    <w:rsid w:val="00724807"/>
    <w:rsid w:val="00725278"/>
    <w:rsid w:val="00725711"/>
    <w:rsid w:val="00727581"/>
    <w:rsid w:val="007316EC"/>
    <w:rsid w:val="00734FCC"/>
    <w:rsid w:val="0073746A"/>
    <w:rsid w:val="00741653"/>
    <w:rsid w:val="007433A3"/>
    <w:rsid w:val="007462D9"/>
    <w:rsid w:val="00746687"/>
    <w:rsid w:val="0075019D"/>
    <w:rsid w:val="00750268"/>
    <w:rsid w:val="00752173"/>
    <w:rsid w:val="0075473C"/>
    <w:rsid w:val="0075622D"/>
    <w:rsid w:val="00756903"/>
    <w:rsid w:val="007602AA"/>
    <w:rsid w:val="00761738"/>
    <w:rsid w:val="007623E0"/>
    <w:rsid w:val="0076328F"/>
    <w:rsid w:val="0076343D"/>
    <w:rsid w:val="00763E26"/>
    <w:rsid w:val="007653FD"/>
    <w:rsid w:val="00766548"/>
    <w:rsid w:val="00766BAA"/>
    <w:rsid w:val="00770031"/>
    <w:rsid w:val="00772226"/>
    <w:rsid w:val="00772FEE"/>
    <w:rsid w:val="00775165"/>
    <w:rsid w:val="007751F1"/>
    <w:rsid w:val="00775440"/>
    <w:rsid w:val="0077634A"/>
    <w:rsid w:val="00780385"/>
    <w:rsid w:val="007829F1"/>
    <w:rsid w:val="00782ADB"/>
    <w:rsid w:val="00785BF6"/>
    <w:rsid w:val="00786F3F"/>
    <w:rsid w:val="007879E0"/>
    <w:rsid w:val="0079181F"/>
    <w:rsid w:val="00792763"/>
    <w:rsid w:val="007944CC"/>
    <w:rsid w:val="00794E31"/>
    <w:rsid w:val="007A19A9"/>
    <w:rsid w:val="007A23E3"/>
    <w:rsid w:val="007B0473"/>
    <w:rsid w:val="007B05DF"/>
    <w:rsid w:val="007B423E"/>
    <w:rsid w:val="007B431D"/>
    <w:rsid w:val="007B64C1"/>
    <w:rsid w:val="007C145C"/>
    <w:rsid w:val="007C14BC"/>
    <w:rsid w:val="007C24A9"/>
    <w:rsid w:val="007C3910"/>
    <w:rsid w:val="007C6926"/>
    <w:rsid w:val="007C76CC"/>
    <w:rsid w:val="007D1CFA"/>
    <w:rsid w:val="007D4A51"/>
    <w:rsid w:val="007D5F65"/>
    <w:rsid w:val="007D68B1"/>
    <w:rsid w:val="007D6F3A"/>
    <w:rsid w:val="007E0BF1"/>
    <w:rsid w:val="007E1BC0"/>
    <w:rsid w:val="007E1E7E"/>
    <w:rsid w:val="007E26ED"/>
    <w:rsid w:val="007E59A8"/>
    <w:rsid w:val="007E5C19"/>
    <w:rsid w:val="007F03CD"/>
    <w:rsid w:val="007F19DC"/>
    <w:rsid w:val="007F3D94"/>
    <w:rsid w:val="007F41C8"/>
    <w:rsid w:val="00800939"/>
    <w:rsid w:val="0080114A"/>
    <w:rsid w:val="00801E25"/>
    <w:rsid w:val="00801E28"/>
    <w:rsid w:val="008025CA"/>
    <w:rsid w:val="00806EA4"/>
    <w:rsid w:val="00810C20"/>
    <w:rsid w:val="00814572"/>
    <w:rsid w:val="00816ED6"/>
    <w:rsid w:val="00820A20"/>
    <w:rsid w:val="008210BC"/>
    <w:rsid w:val="00821D17"/>
    <w:rsid w:val="0082237D"/>
    <w:rsid w:val="00823AFD"/>
    <w:rsid w:val="00823B88"/>
    <w:rsid w:val="00824B75"/>
    <w:rsid w:val="00825D24"/>
    <w:rsid w:val="008339E9"/>
    <w:rsid w:val="008364A3"/>
    <w:rsid w:val="00837B75"/>
    <w:rsid w:val="008409EF"/>
    <w:rsid w:val="00842E49"/>
    <w:rsid w:val="00843C98"/>
    <w:rsid w:val="008450DD"/>
    <w:rsid w:val="00846472"/>
    <w:rsid w:val="0085399E"/>
    <w:rsid w:val="00854497"/>
    <w:rsid w:val="00854821"/>
    <w:rsid w:val="00854DF5"/>
    <w:rsid w:val="00855E3D"/>
    <w:rsid w:val="008565BD"/>
    <w:rsid w:val="008567EC"/>
    <w:rsid w:val="00860387"/>
    <w:rsid w:val="00866E45"/>
    <w:rsid w:val="008676EC"/>
    <w:rsid w:val="00877046"/>
    <w:rsid w:val="00877316"/>
    <w:rsid w:val="008850D8"/>
    <w:rsid w:val="00885C1C"/>
    <w:rsid w:val="0089127D"/>
    <w:rsid w:val="00891F7A"/>
    <w:rsid w:val="008923D8"/>
    <w:rsid w:val="00893339"/>
    <w:rsid w:val="00894CC0"/>
    <w:rsid w:val="008960EB"/>
    <w:rsid w:val="00897609"/>
    <w:rsid w:val="008976E9"/>
    <w:rsid w:val="008A2823"/>
    <w:rsid w:val="008A4C1A"/>
    <w:rsid w:val="008B065F"/>
    <w:rsid w:val="008B0CEE"/>
    <w:rsid w:val="008B1923"/>
    <w:rsid w:val="008B1B9C"/>
    <w:rsid w:val="008B1C04"/>
    <w:rsid w:val="008B1DD5"/>
    <w:rsid w:val="008B353E"/>
    <w:rsid w:val="008B70C1"/>
    <w:rsid w:val="008C2F48"/>
    <w:rsid w:val="008C35A8"/>
    <w:rsid w:val="008C54AC"/>
    <w:rsid w:val="008C59AB"/>
    <w:rsid w:val="008C7A3D"/>
    <w:rsid w:val="008D03B4"/>
    <w:rsid w:val="008D0B1D"/>
    <w:rsid w:val="008D0E0D"/>
    <w:rsid w:val="008D10D5"/>
    <w:rsid w:val="008D21A0"/>
    <w:rsid w:val="008D2885"/>
    <w:rsid w:val="008D4BDE"/>
    <w:rsid w:val="008D553D"/>
    <w:rsid w:val="008D5EB3"/>
    <w:rsid w:val="008D649C"/>
    <w:rsid w:val="008E1EFC"/>
    <w:rsid w:val="008E1F3B"/>
    <w:rsid w:val="008E3708"/>
    <w:rsid w:val="008E5D46"/>
    <w:rsid w:val="008E5FF4"/>
    <w:rsid w:val="008E6F63"/>
    <w:rsid w:val="008F636C"/>
    <w:rsid w:val="008F6D37"/>
    <w:rsid w:val="008F70FD"/>
    <w:rsid w:val="008F7E8E"/>
    <w:rsid w:val="009025EC"/>
    <w:rsid w:val="009056A5"/>
    <w:rsid w:val="00907FB5"/>
    <w:rsid w:val="00911155"/>
    <w:rsid w:val="00916E50"/>
    <w:rsid w:val="00917AFB"/>
    <w:rsid w:val="00920587"/>
    <w:rsid w:val="00921FBD"/>
    <w:rsid w:val="00923359"/>
    <w:rsid w:val="00926F9A"/>
    <w:rsid w:val="00927042"/>
    <w:rsid w:val="00931648"/>
    <w:rsid w:val="00931BEE"/>
    <w:rsid w:val="00932B25"/>
    <w:rsid w:val="00933F6E"/>
    <w:rsid w:val="0093499D"/>
    <w:rsid w:val="00936821"/>
    <w:rsid w:val="00943C9C"/>
    <w:rsid w:val="00944545"/>
    <w:rsid w:val="00944732"/>
    <w:rsid w:val="00945297"/>
    <w:rsid w:val="00945C31"/>
    <w:rsid w:val="00950327"/>
    <w:rsid w:val="00950412"/>
    <w:rsid w:val="00950F8E"/>
    <w:rsid w:val="00952146"/>
    <w:rsid w:val="00952413"/>
    <w:rsid w:val="00954137"/>
    <w:rsid w:val="00960650"/>
    <w:rsid w:val="00962820"/>
    <w:rsid w:val="00963BC2"/>
    <w:rsid w:val="00964086"/>
    <w:rsid w:val="00966C27"/>
    <w:rsid w:val="0096704A"/>
    <w:rsid w:val="00967D51"/>
    <w:rsid w:val="00970FA1"/>
    <w:rsid w:val="009747C0"/>
    <w:rsid w:val="00977D9D"/>
    <w:rsid w:val="00981037"/>
    <w:rsid w:val="00991121"/>
    <w:rsid w:val="00991A34"/>
    <w:rsid w:val="00992450"/>
    <w:rsid w:val="009A17BC"/>
    <w:rsid w:val="009A1A3E"/>
    <w:rsid w:val="009A2BC2"/>
    <w:rsid w:val="009A2CB5"/>
    <w:rsid w:val="009A33F1"/>
    <w:rsid w:val="009A71B8"/>
    <w:rsid w:val="009B04BF"/>
    <w:rsid w:val="009B1FBC"/>
    <w:rsid w:val="009B3243"/>
    <w:rsid w:val="009B4E42"/>
    <w:rsid w:val="009B4F3D"/>
    <w:rsid w:val="009B686A"/>
    <w:rsid w:val="009B6C1A"/>
    <w:rsid w:val="009B7E94"/>
    <w:rsid w:val="009C0E4C"/>
    <w:rsid w:val="009C1CE2"/>
    <w:rsid w:val="009C29A2"/>
    <w:rsid w:val="009D3CDD"/>
    <w:rsid w:val="009D7C78"/>
    <w:rsid w:val="009E4DB7"/>
    <w:rsid w:val="009E575E"/>
    <w:rsid w:val="009E57B9"/>
    <w:rsid w:val="009E6566"/>
    <w:rsid w:val="009F1D10"/>
    <w:rsid w:val="009F4811"/>
    <w:rsid w:val="009F5E25"/>
    <w:rsid w:val="00A0032D"/>
    <w:rsid w:val="00A02FB1"/>
    <w:rsid w:val="00A03368"/>
    <w:rsid w:val="00A047B6"/>
    <w:rsid w:val="00A04956"/>
    <w:rsid w:val="00A0610D"/>
    <w:rsid w:val="00A07CAB"/>
    <w:rsid w:val="00A10E2E"/>
    <w:rsid w:val="00A12B9F"/>
    <w:rsid w:val="00A15BDE"/>
    <w:rsid w:val="00A163FC"/>
    <w:rsid w:val="00A169C4"/>
    <w:rsid w:val="00A16ACD"/>
    <w:rsid w:val="00A17819"/>
    <w:rsid w:val="00A22AE3"/>
    <w:rsid w:val="00A22F37"/>
    <w:rsid w:val="00A23666"/>
    <w:rsid w:val="00A237DF"/>
    <w:rsid w:val="00A23F3F"/>
    <w:rsid w:val="00A2586A"/>
    <w:rsid w:val="00A26266"/>
    <w:rsid w:val="00A27FCE"/>
    <w:rsid w:val="00A30BA9"/>
    <w:rsid w:val="00A31B8F"/>
    <w:rsid w:val="00A322EC"/>
    <w:rsid w:val="00A35586"/>
    <w:rsid w:val="00A40F12"/>
    <w:rsid w:val="00A42FFE"/>
    <w:rsid w:val="00A45E06"/>
    <w:rsid w:val="00A4793B"/>
    <w:rsid w:val="00A50B86"/>
    <w:rsid w:val="00A51F8C"/>
    <w:rsid w:val="00A525A4"/>
    <w:rsid w:val="00A54841"/>
    <w:rsid w:val="00A54CA4"/>
    <w:rsid w:val="00A61BDF"/>
    <w:rsid w:val="00A62C90"/>
    <w:rsid w:val="00A65EF2"/>
    <w:rsid w:val="00A66412"/>
    <w:rsid w:val="00A66F67"/>
    <w:rsid w:val="00A674A8"/>
    <w:rsid w:val="00A70B42"/>
    <w:rsid w:val="00A71A38"/>
    <w:rsid w:val="00A71D1F"/>
    <w:rsid w:val="00A72A61"/>
    <w:rsid w:val="00A75F51"/>
    <w:rsid w:val="00A76A88"/>
    <w:rsid w:val="00A80E58"/>
    <w:rsid w:val="00A82282"/>
    <w:rsid w:val="00A83EB9"/>
    <w:rsid w:val="00A91F1E"/>
    <w:rsid w:val="00A92233"/>
    <w:rsid w:val="00A938B7"/>
    <w:rsid w:val="00A9402D"/>
    <w:rsid w:val="00A94F13"/>
    <w:rsid w:val="00A95097"/>
    <w:rsid w:val="00A9576A"/>
    <w:rsid w:val="00A9590C"/>
    <w:rsid w:val="00AA20BE"/>
    <w:rsid w:val="00AA2644"/>
    <w:rsid w:val="00AA3D15"/>
    <w:rsid w:val="00AA43EC"/>
    <w:rsid w:val="00AA4652"/>
    <w:rsid w:val="00AA600A"/>
    <w:rsid w:val="00AB2B44"/>
    <w:rsid w:val="00AB332A"/>
    <w:rsid w:val="00AB3CE6"/>
    <w:rsid w:val="00AB4A0E"/>
    <w:rsid w:val="00AB5A5B"/>
    <w:rsid w:val="00AC0064"/>
    <w:rsid w:val="00AC0389"/>
    <w:rsid w:val="00AC1D43"/>
    <w:rsid w:val="00AC2484"/>
    <w:rsid w:val="00AC543D"/>
    <w:rsid w:val="00AC7741"/>
    <w:rsid w:val="00AC7CB5"/>
    <w:rsid w:val="00AD0AC2"/>
    <w:rsid w:val="00AD15C7"/>
    <w:rsid w:val="00AD2718"/>
    <w:rsid w:val="00AD51A3"/>
    <w:rsid w:val="00AD56E0"/>
    <w:rsid w:val="00AD7208"/>
    <w:rsid w:val="00AE4568"/>
    <w:rsid w:val="00AE4C1D"/>
    <w:rsid w:val="00AE62D8"/>
    <w:rsid w:val="00AE6985"/>
    <w:rsid w:val="00AF3C77"/>
    <w:rsid w:val="00AF4582"/>
    <w:rsid w:val="00AF518A"/>
    <w:rsid w:val="00AF5288"/>
    <w:rsid w:val="00AF5C1C"/>
    <w:rsid w:val="00AF5F54"/>
    <w:rsid w:val="00AF77A0"/>
    <w:rsid w:val="00B00B73"/>
    <w:rsid w:val="00B05403"/>
    <w:rsid w:val="00B104D4"/>
    <w:rsid w:val="00B119DA"/>
    <w:rsid w:val="00B12BB8"/>
    <w:rsid w:val="00B12CED"/>
    <w:rsid w:val="00B1568E"/>
    <w:rsid w:val="00B1651A"/>
    <w:rsid w:val="00B20D51"/>
    <w:rsid w:val="00B2515B"/>
    <w:rsid w:val="00B319F3"/>
    <w:rsid w:val="00B36045"/>
    <w:rsid w:val="00B36DE1"/>
    <w:rsid w:val="00B40C1B"/>
    <w:rsid w:val="00B42473"/>
    <w:rsid w:val="00B4374E"/>
    <w:rsid w:val="00B43DC0"/>
    <w:rsid w:val="00B44FE7"/>
    <w:rsid w:val="00B45FE5"/>
    <w:rsid w:val="00B4608A"/>
    <w:rsid w:val="00B505E5"/>
    <w:rsid w:val="00B536F5"/>
    <w:rsid w:val="00B55C3F"/>
    <w:rsid w:val="00B568A0"/>
    <w:rsid w:val="00B67006"/>
    <w:rsid w:val="00B67E05"/>
    <w:rsid w:val="00B7087B"/>
    <w:rsid w:val="00B72F3A"/>
    <w:rsid w:val="00B734B9"/>
    <w:rsid w:val="00B74DA2"/>
    <w:rsid w:val="00B764A8"/>
    <w:rsid w:val="00B81C4C"/>
    <w:rsid w:val="00B835EF"/>
    <w:rsid w:val="00B85FA5"/>
    <w:rsid w:val="00B905DD"/>
    <w:rsid w:val="00B92F45"/>
    <w:rsid w:val="00B93214"/>
    <w:rsid w:val="00B95516"/>
    <w:rsid w:val="00B971D5"/>
    <w:rsid w:val="00B9782C"/>
    <w:rsid w:val="00BA72A9"/>
    <w:rsid w:val="00BB1D2F"/>
    <w:rsid w:val="00BB1D76"/>
    <w:rsid w:val="00BB4804"/>
    <w:rsid w:val="00BB5391"/>
    <w:rsid w:val="00BB7014"/>
    <w:rsid w:val="00BC039B"/>
    <w:rsid w:val="00BC06A8"/>
    <w:rsid w:val="00BC13CC"/>
    <w:rsid w:val="00BC1835"/>
    <w:rsid w:val="00BC36EA"/>
    <w:rsid w:val="00BC4CDA"/>
    <w:rsid w:val="00BC6057"/>
    <w:rsid w:val="00BD0AB6"/>
    <w:rsid w:val="00BD115D"/>
    <w:rsid w:val="00BD1316"/>
    <w:rsid w:val="00BD2098"/>
    <w:rsid w:val="00BD333C"/>
    <w:rsid w:val="00BD5140"/>
    <w:rsid w:val="00BE0341"/>
    <w:rsid w:val="00BE0408"/>
    <w:rsid w:val="00BE27CC"/>
    <w:rsid w:val="00BE496F"/>
    <w:rsid w:val="00BE5CF8"/>
    <w:rsid w:val="00BF2B47"/>
    <w:rsid w:val="00BF2BA6"/>
    <w:rsid w:val="00BF3BF6"/>
    <w:rsid w:val="00BF49DB"/>
    <w:rsid w:val="00BF5D72"/>
    <w:rsid w:val="00C002F1"/>
    <w:rsid w:val="00C01D09"/>
    <w:rsid w:val="00C02843"/>
    <w:rsid w:val="00C038C0"/>
    <w:rsid w:val="00C10195"/>
    <w:rsid w:val="00C1092A"/>
    <w:rsid w:val="00C120FF"/>
    <w:rsid w:val="00C12267"/>
    <w:rsid w:val="00C13188"/>
    <w:rsid w:val="00C1380F"/>
    <w:rsid w:val="00C1788E"/>
    <w:rsid w:val="00C21FA2"/>
    <w:rsid w:val="00C25829"/>
    <w:rsid w:val="00C25D8A"/>
    <w:rsid w:val="00C26EE8"/>
    <w:rsid w:val="00C30940"/>
    <w:rsid w:val="00C32097"/>
    <w:rsid w:val="00C328F9"/>
    <w:rsid w:val="00C37E43"/>
    <w:rsid w:val="00C43729"/>
    <w:rsid w:val="00C44110"/>
    <w:rsid w:val="00C500A3"/>
    <w:rsid w:val="00C51EC2"/>
    <w:rsid w:val="00C5246F"/>
    <w:rsid w:val="00C53AAB"/>
    <w:rsid w:val="00C5572B"/>
    <w:rsid w:val="00C60C39"/>
    <w:rsid w:val="00C626F4"/>
    <w:rsid w:val="00C62D06"/>
    <w:rsid w:val="00C64C33"/>
    <w:rsid w:val="00C6692F"/>
    <w:rsid w:val="00C70DE4"/>
    <w:rsid w:val="00C75F64"/>
    <w:rsid w:val="00C776F2"/>
    <w:rsid w:val="00C81145"/>
    <w:rsid w:val="00C813A9"/>
    <w:rsid w:val="00C826A4"/>
    <w:rsid w:val="00C832D7"/>
    <w:rsid w:val="00C845C3"/>
    <w:rsid w:val="00C857A1"/>
    <w:rsid w:val="00C85CA8"/>
    <w:rsid w:val="00C9624D"/>
    <w:rsid w:val="00C96D22"/>
    <w:rsid w:val="00CA2E11"/>
    <w:rsid w:val="00CA53C8"/>
    <w:rsid w:val="00CA542C"/>
    <w:rsid w:val="00CA6859"/>
    <w:rsid w:val="00CA709A"/>
    <w:rsid w:val="00CA72DE"/>
    <w:rsid w:val="00CA7AA3"/>
    <w:rsid w:val="00CB12E6"/>
    <w:rsid w:val="00CB66A8"/>
    <w:rsid w:val="00CB703D"/>
    <w:rsid w:val="00CC23CD"/>
    <w:rsid w:val="00CC29F4"/>
    <w:rsid w:val="00CC7C7F"/>
    <w:rsid w:val="00CD0E21"/>
    <w:rsid w:val="00CD1D9C"/>
    <w:rsid w:val="00CD46D4"/>
    <w:rsid w:val="00CD6389"/>
    <w:rsid w:val="00CE6432"/>
    <w:rsid w:val="00CE70CD"/>
    <w:rsid w:val="00CE77AF"/>
    <w:rsid w:val="00CF1FDF"/>
    <w:rsid w:val="00CF4A08"/>
    <w:rsid w:val="00CF55E0"/>
    <w:rsid w:val="00CF7147"/>
    <w:rsid w:val="00CF7A94"/>
    <w:rsid w:val="00CF7E18"/>
    <w:rsid w:val="00D03AA9"/>
    <w:rsid w:val="00D0513F"/>
    <w:rsid w:val="00D0673E"/>
    <w:rsid w:val="00D07B34"/>
    <w:rsid w:val="00D101E6"/>
    <w:rsid w:val="00D10E05"/>
    <w:rsid w:val="00D1153A"/>
    <w:rsid w:val="00D12610"/>
    <w:rsid w:val="00D129E5"/>
    <w:rsid w:val="00D13F34"/>
    <w:rsid w:val="00D14719"/>
    <w:rsid w:val="00D16C24"/>
    <w:rsid w:val="00D17152"/>
    <w:rsid w:val="00D17C00"/>
    <w:rsid w:val="00D20F5D"/>
    <w:rsid w:val="00D21DF9"/>
    <w:rsid w:val="00D2313B"/>
    <w:rsid w:val="00D26122"/>
    <w:rsid w:val="00D273F4"/>
    <w:rsid w:val="00D35F17"/>
    <w:rsid w:val="00D4124E"/>
    <w:rsid w:val="00D442E7"/>
    <w:rsid w:val="00D47D52"/>
    <w:rsid w:val="00D50738"/>
    <w:rsid w:val="00D50964"/>
    <w:rsid w:val="00D51C4D"/>
    <w:rsid w:val="00D51F6A"/>
    <w:rsid w:val="00D53CFF"/>
    <w:rsid w:val="00D56F85"/>
    <w:rsid w:val="00D57D27"/>
    <w:rsid w:val="00D60B1D"/>
    <w:rsid w:val="00D623F9"/>
    <w:rsid w:val="00D6372E"/>
    <w:rsid w:val="00D63A2E"/>
    <w:rsid w:val="00D63CDE"/>
    <w:rsid w:val="00D64824"/>
    <w:rsid w:val="00D662DB"/>
    <w:rsid w:val="00D673B2"/>
    <w:rsid w:val="00D74002"/>
    <w:rsid w:val="00D76AE2"/>
    <w:rsid w:val="00D80DCB"/>
    <w:rsid w:val="00D826DF"/>
    <w:rsid w:val="00D84660"/>
    <w:rsid w:val="00D8569E"/>
    <w:rsid w:val="00D92280"/>
    <w:rsid w:val="00D92A4A"/>
    <w:rsid w:val="00D96E39"/>
    <w:rsid w:val="00D97156"/>
    <w:rsid w:val="00DA0433"/>
    <w:rsid w:val="00DA1A64"/>
    <w:rsid w:val="00DA412C"/>
    <w:rsid w:val="00DA64A7"/>
    <w:rsid w:val="00DB249D"/>
    <w:rsid w:val="00DB2E3D"/>
    <w:rsid w:val="00DB5FD3"/>
    <w:rsid w:val="00DB6BBD"/>
    <w:rsid w:val="00DC2617"/>
    <w:rsid w:val="00DC3DF6"/>
    <w:rsid w:val="00DC60EF"/>
    <w:rsid w:val="00DD0C46"/>
    <w:rsid w:val="00DD1BA4"/>
    <w:rsid w:val="00DD2FC8"/>
    <w:rsid w:val="00DD5BBF"/>
    <w:rsid w:val="00DE08C3"/>
    <w:rsid w:val="00DE4067"/>
    <w:rsid w:val="00DE4C76"/>
    <w:rsid w:val="00DE4D1E"/>
    <w:rsid w:val="00DF018A"/>
    <w:rsid w:val="00DF1064"/>
    <w:rsid w:val="00DF11D8"/>
    <w:rsid w:val="00DF25FA"/>
    <w:rsid w:val="00DF5322"/>
    <w:rsid w:val="00E0396B"/>
    <w:rsid w:val="00E0418A"/>
    <w:rsid w:val="00E05024"/>
    <w:rsid w:val="00E0546B"/>
    <w:rsid w:val="00E055F2"/>
    <w:rsid w:val="00E058BB"/>
    <w:rsid w:val="00E060FF"/>
    <w:rsid w:val="00E06767"/>
    <w:rsid w:val="00E103F1"/>
    <w:rsid w:val="00E11FC8"/>
    <w:rsid w:val="00E12488"/>
    <w:rsid w:val="00E12547"/>
    <w:rsid w:val="00E14366"/>
    <w:rsid w:val="00E14806"/>
    <w:rsid w:val="00E1532C"/>
    <w:rsid w:val="00E15F2F"/>
    <w:rsid w:val="00E16B42"/>
    <w:rsid w:val="00E224EA"/>
    <w:rsid w:val="00E27F7C"/>
    <w:rsid w:val="00E33299"/>
    <w:rsid w:val="00E34CFF"/>
    <w:rsid w:val="00E36795"/>
    <w:rsid w:val="00E3714C"/>
    <w:rsid w:val="00E41C76"/>
    <w:rsid w:val="00E435FD"/>
    <w:rsid w:val="00E46DE8"/>
    <w:rsid w:val="00E50AD5"/>
    <w:rsid w:val="00E54254"/>
    <w:rsid w:val="00E556D4"/>
    <w:rsid w:val="00E60D82"/>
    <w:rsid w:val="00E6365A"/>
    <w:rsid w:val="00E646F3"/>
    <w:rsid w:val="00E65E04"/>
    <w:rsid w:val="00E71EBC"/>
    <w:rsid w:val="00E721C8"/>
    <w:rsid w:val="00E72B65"/>
    <w:rsid w:val="00E73C20"/>
    <w:rsid w:val="00E74221"/>
    <w:rsid w:val="00E74330"/>
    <w:rsid w:val="00E744D3"/>
    <w:rsid w:val="00E74ADF"/>
    <w:rsid w:val="00E74D2D"/>
    <w:rsid w:val="00E804C8"/>
    <w:rsid w:val="00E82C5B"/>
    <w:rsid w:val="00E82E03"/>
    <w:rsid w:val="00E85D5F"/>
    <w:rsid w:val="00E94B40"/>
    <w:rsid w:val="00E95DF9"/>
    <w:rsid w:val="00EA57F7"/>
    <w:rsid w:val="00EA594F"/>
    <w:rsid w:val="00EA5B99"/>
    <w:rsid w:val="00EA6717"/>
    <w:rsid w:val="00EB2531"/>
    <w:rsid w:val="00EB650A"/>
    <w:rsid w:val="00EB7325"/>
    <w:rsid w:val="00EB7F3F"/>
    <w:rsid w:val="00EC011D"/>
    <w:rsid w:val="00EC20E1"/>
    <w:rsid w:val="00EC47B6"/>
    <w:rsid w:val="00EC5138"/>
    <w:rsid w:val="00EC55F8"/>
    <w:rsid w:val="00EC5FCC"/>
    <w:rsid w:val="00EC7757"/>
    <w:rsid w:val="00ED0E86"/>
    <w:rsid w:val="00ED1D40"/>
    <w:rsid w:val="00ED2F10"/>
    <w:rsid w:val="00ED3AD7"/>
    <w:rsid w:val="00ED4BC3"/>
    <w:rsid w:val="00ED7756"/>
    <w:rsid w:val="00ED7867"/>
    <w:rsid w:val="00ED7AD4"/>
    <w:rsid w:val="00EE0AAE"/>
    <w:rsid w:val="00EE10B6"/>
    <w:rsid w:val="00EE1650"/>
    <w:rsid w:val="00EE2C2F"/>
    <w:rsid w:val="00EE4715"/>
    <w:rsid w:val="00EE50FA"/>
    <w:rsid w:val="00EF2990"/>
    <w:rsid w:val="00EF3475"/>
    <w:rsid w:val="00F03440"/>
    <w:rsid w:val="00F12B02"/>
    <w:rsid w:val="00F131EB"/>
    <w:rsid w:val="00F13BBA"/>
    <w:rsid w:val="00F13D73"/>
    <w:rsid w:val="00F1415A"/>
    <w:rsid w:val="00F14B34"/>
    <w:rsid w:val="00F1559E"/>
    <w:rsid w:val="00F160F0"/>
    <w:rsid w:val="00F178D9"/>
    <w:rsid w:val="00F20B7F"/>
    <w:rsid w:val="00F21629"/>
    <w:rsid w:val="00F23E36"/>
    <w:rsid w:val="00F242DE"/>
    <w:rsid w:val="00F258C0"/>
    <w:rsid w:val="00F25BE4"/>
    <w:rsid w:val="00F26758"/>
    <w:rsid w:val="00F30547"/>
    <w:rsid w:val="00F30AF4"/>
    <w:rsid w:val="00F31F18"/>
    <w:rsid w:val="00F3294F"/>
    <w:rsid w:val="00F33921"/>
    <w:rsid w:val="00F33F17"/>
    <w:rsid w:val="00F35231"/>
    <w:rsid w:val="00F361D0"/>
    <w:rsid w:val="00F364B2"/>
    <w:rsid w:val="00F40648"/>
    <w:rsid w:val="00F406A3"/>
    <w:rsid w:val="00F40BAF"/>
    <w:rsid w:val="00F40C74"/>
    <w:rsid w:val="00F42172"/>
    <w:rsid w:val="00F4289E"/>
    <w:rsid w:val="00F4303D"/>
    <w:rsid w:val="00F502EE"/>
    <w:rsid w:val="00F50566"/>
    <w:rsid w:val="00F50A5F"/>
    <w:rsid w:val="00F5385C"/>
    <w:rsid w:val="00F55031"/>
    <w:rsid w:val="00F5513F"/>
    <w:rsid w:val="00F557B7"/>
    <w:rsid w:val="00F55928"/>
    <w:rsid w:val="00F559BA"/>
    <w:rsid w:val="00F56A2C"/>
    <w:rsid w:val="00F56FB2"/>
    <w:rsid w:val="00F57509"/>
    <w:rsid w:val="00F602E0"/>
    <w:rsid w:val="00F6126F"/>
    <w:rsid w:val="00F613F4"/>
    <w:rsid w:val="00F631ED"/>
    <w:rsid w:val="00F63BD5"/>
    <w:rsid w:val="00F63DC5"/>
    <w:rsid w:val="00F646D8"/>
    <w:rsid w:val="00F64D12"/>
    <w:rsid w:val="00F66308"/>
    <w:rsid w:val="00F702CF"/>
    <w:rsid w:val="00F713C3"/>
    <w:rsid w:val="00F71A8A"/>
    <w:rsid w:val="00F75086"/>
    <w:rsid w:val="00F761DC"/>
    <w:rsid w:val="00F77016"/>
    <w:rsid w:val="00F81201"/>
    <w:rsid w:val="00F82CCB"/>
    <w:rsid w:val="00F83357"/>
    <w:rsid w:val="00F83C49"/>
    <w:rsid w:val="00F86C8A"/>
    <w:rsid w:val="00F87114"/>
    <w:rsid w:val="00F92FA2"/>
    <w:rsid w:val="00F938B8"/>
    <w:rsid w:val="00F956AA"/>
    <w:rsid w:val="00F966BF"/>
    <w:rsid w:val="00FA1066"/>
    <w:rsid w:val="00FA166E"/>
    <w:rsid w:val="00FA426F"/>
    <w:rsid w:val="00FA4B4A"/>
    <w:rsid w:val="00FA4BCF"/>
    <w:rsid w:val="00FA5263"/>
    <w:rsid w:val="00FA647D"/>
    <w:rsid w:val="00FA707C"/>
    <w:rsid w:val="00FB1538"/>
    <w:rsid w:val="00FB4EA1"/>
    <w:rsid w:val="00FB67E1"/>
    <w:rsid w:val="00FB6C00"/>
    <w:rsid w:val="00FB6DA9"/>
    <w:rsid w:val="00FC0F17"/>
    <w:rsid w:val="00FC199F"/>
    <w:rsid w:val="00FC268B"/>
    <w:rsid w:val="00FC2D01"/>
    <w:rsid w:val="00FC38F3"/>
    <w:rsid w:val="00FC6ACB"/>
    <w:rsid w:val="00FC7C21"/>
    <w:rsid w:val="00FD21C6"/>
    <w:rsid w:val="00FD521D"/>
    <w:rsid w:val="00FD67F8"/>
    <w:rsid w:val="00FD759E"/>
    <w:rsid w:val="00FE0911"/>
    <w:rsid w:val="00FE1B9E"/>
    <w:rsid w:val="00FE4F7C"/>
    <w:rsid w:val="00FE782A"/>
    <w:rsid w:val="00FE7F51"/>
    <w:rsid w:val="00FF0A56"/>
    <w:rsid w:val="00FF0F49"/>
    <w:rsid w:val="00FF2A2B"/>
    <w:rsid w:val="00FF49A8"/>
    <w:rsid w:val="00FF4A85"/>
    <w:rsid w:val="00FF5403"/>
    <w:rsid w:val="00FF5CAE"/>
    <w:rsid w:val="00FF6CA5"/>
    <w:rsid w:val="00FF6F6F"/>
    <w:rsid w:val="00FF7DD8"/>
    <w:rsid w:val="33513164"/>
    <w:rsid w:val="65809E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44DF1"/>
  <w15:docId w15:val="{13FF43F7-6EF7-46DF-A8B8-EDCA940B9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4" w:unhideWhenUsed="1" w:qFormat="1"/>
    <w:lsdException w:name="heading 5" w:semiHidden="1" w:uiPriority="4"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662"/>
  </w:style>
  <w:style w:type="paragraph" w:styleId="Heading1">
    <w:name w:val="heading 1"/>
    <w:basedOn w:val="Normal"/>
    <w:next w:val="Normal"/>
    <w:link w:val="Heading1Char"/>
    <w:uiPriority w:val="9"/>
    <w:qFormat/>
    <w:rsid w:val="00A16ACD"/>
    <w:pPr>
      <w:spacing w:line="480" w:lineRule="auto"/>
      <w:jc w:val="center"/>
      <w:outlineLvl w:val="0"/>
    </w:pPr>
    <w:rPr>
      <w:b/>
    </w:rPr>
  </w:style>
  <w:style w:type="paragraph" w:styleId="Heading2">
    <w:name w:val="heading 2"/>
    <w:basedOn w:val="Heading3"/>
    <w:next w:val="Normal"/>
    <w:link w:val="Heading2Char"/>
    <w:uiPriority w:val="9"/>
    <w:unhideWhenUsed/>
    <w:qFormat/>
    <w:rsid w:val="00572B2E"/>
    <w:pPr>
      <w:spacing w:line="480" w:lineRule="auto"/>
      <w:outlineLvl w:val="1"/>
    </w:pPr>
    <w:rPr>
      <w:i w:val="0"/>
      <w:iCs w:val="0"/>
    </w:rPr>
  </w:style>
  <w:style w:type="paragraph" w:styleId="Heading3">
    <w:name w:val="heading 3"/>
    <w:basedOn w:val="Normal"/>
    <w:next w:val="Normal"/>
    <w:link w:val="Heading3Char"/>
    <w:uiPriority w:val="9"/>
    <w:unhideWhenUsed/>
    <w:qFormat/>
    <w:rsid w:val="00866E45"/>
    <w:pPr>
      <w:spacing w:line="240" w:lineRule="auto"/>
      <w:outlineLvl w:val="2"/>
    </w:pPr>
    <w:rPr>
      <w:b/>
      <w:bCs/>
      <w:i/>
      <w:iCs/>
    </w:rPr>
  </w:style>
  <w:style w:type="paragraph" w:styleId="Heading4">
    <w:name w:val="heading 4"/>
    <w:basedOn w:val="Normal"/>
    <w:next w:val="Normal"/>
    <w:link w:val="Heading4Char"/>
    <w:uiPriority w:val="4"/>
    <w:unhideWhenUsed/>
    <w:qFormat/>
    <w:rsid w:val="00FD21C6"/>
    <w:pPr>
      <w:ind w:firstLine="720"/>
      <w:outlineLvl w:val="3"/>
    </w:pPr>
    <w:rPr>
      <w:b/>
      <w:bCs/>
    </w:rPr>
  </w:style>
  <w:style w:type="paragraph" w:styleId="Heading5">
    <w:name w:val="heading 5"/>
    <w:basedOn w:val="Normal"/>
    <w:next w:val="Normal"/>
    <w:link w:val="Heading5Char"/>
    <w:uiPriority w:val="4"/>
    <w:unhideWhenUsed/>
    <w:qFormat/>
    <w:pPr>
      <w:keepNext/>
      <w:keepLines/>
      <w:spacing w:before="240" w:after="80"/>
      <w:outlineLvl w:val="4"/>
    </w:pPr>
    <w:rPr>
      <w:color w:val="666666"/>
      <w:sz w:val="22"/>
      <w:szCs w:val="22"/>
    </w:rPr>
  </w:style>
  <w:style w:type="paragraph" w:styleId="Heading6">
    <w:name w:val="heading 6"/>
    <w:basedOn w:val="Normal"/>
    <w:next w:val="Normal"/>
    <w:link w:val="Heading6Char"/>
    <w:uiPriority w:val="9"/>
    <w:semiHidden/>
    <w:unhideWhenUsed/>
    <w:qFormat/>
    <w:pPr>
      <w:keepNext/>
      <w:keepLines/>
      <w:spacing w:before="240" w:after="80"/>
      <w:outlineLvl w:val="5"/>
    </w:pPr>
    <w:rPr>
      <w:i/>
      <w:color w:val="666666"/>
      <w:sz w:val="22"/>
      <w:szCs w:val="22"/>
    </w:rPr>
  </w:style>
  <w:style w:type="paragraph" w:styleId="Heading7">
    <w:name w:val="heading 7"/>
    <w:basedOn w:val="Normal"/>
    <w:next w:val="Normal"/>
    <w:link w:val="Heading7Char"/>
    <w:uiPriority w:val="9"/>
    <w:semiHidden/>
    <w:qFormat/>
    <w:rsid w:val="00403D84"/>
    <w:pPr>
      <w:keepNext/>
      <w:keepLines/>
      <w:spacing w:before="40" w:line="240" w:lineRule="auto"/>
      <w:outlineLvl w:val="6"/>
    </w:pPr>
    <w:rPr>
      <w:rFonts w:asciiTheme="majorHAnsi" w:eastAsiaTheme="majorEastAsia" w:hAnsiTheme="majorHAnsi" w:cstheme="majorBidi"/>
      <w:i/>
      <w:iCs/>
      <w:color w:val="243F60" w:themeColor="accent1" w:themeShade="7F"/>
      <w:lang w:val="en-US" w:eastAsia="ja-JP"/>
    </w:rPr>
  </w:style>
  <w:style w:type="paragraph" w:styleId="Heading8">
    <w:name w:val="heading 8"/>
    <w:basedOn w:val="Normal"/>
    <w:next w:val="Normal"/>
    <w:link w:val="Heading8Char"/>
    <w:uiPriority w:val="9"/>
    <w:semiHidden/>
    <w:qFormat/>
    <w:rsid w:val="00403D84"/>
    <w:pPr>
      <w:keepNext/>
      <w:keepLines/>
      <w:spacing w:before="40" w:line="240" w:lineRule="auto"/>
      <w:outlineLvl w:val="7"/>
    </w:pPr>
    <w:rPr>
      <w:rFonts w:asciiTheme="majorHAnsi" w:eastAsiaTheme="majorEastAsia" w:hAnsiTheme="majorHAnsi" w:cstheme="majorBidi"/>
      <w:color w:val="272727" w:themeColor="text1" w:themeTint="D8"/>
      <w:sz w:val="21"/>
      <w:szCs w:val="21"/>
      <w:lang w:val="en-US" w:eastAsia="ja-JP"/>
    </w:rPr>
  </w:style>
  <w:style w:type="paragraph" w:styleId="Heading9">
    <w:name w:val="heading 9"/>
    <w:basedOn w:val="Normal"/>
    <w:next w:val="Normal"/>
    <w:link w:val="Heading9Char"/>
    <w:uiPriority w:val="9"/>
    <w:semiHidden/>
    <w:qFormat/>
    <w:rsid w:val="00403D84"/>
    <w:pPr>
      <w:keepNext/>
      <w:keepLines/>
      <w:spacing w:before="40" w:line="240" w:lineRule="auto"/>
      <w:outlineLvl w:val="8"/>
    </w:pPr>
    <w:rPr>
      <w:rFonts w:asciiTheme="majorHAnsi" w:eastAsiaTheme="majorEastAsia" w:hAnsiTheme="majorHAnsi" w:cstheme="majorBidi"/>
      <w:i/>
      <w:iCs/>
      <w:color w:val="272727" w:themeColor="text1" w:themeTint="D8"/>
      <w:sz w:val="21"/>
      <w:szCs w:val="21"/>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AF3C77"/>
    <w:pPr>
      <w:spacing w:line="240" w:lineRule="auto"/>
    </w:pPr>
  </w:style>
  <w:style w:type="paragraph" w:styleId="CommentSubject">
    <w:name w:val="annotation subject"/>
    <w:basedOn w:val="CommentText"/>
    <w:next w:val="CommentText"/>
    <w:link w:val="CommentSubjectChar"/>
    <w:uiPriority w:val="99"/>
    <w:semiHidden/>
    <w:unhideWhenUsed/>
    <w:rsid w:val="00AF3C77"/>
    <w:rPr>
      <w:b/>
      <w:bCs/>
    </w:rPr>
  </w:style>
  <w:style w:type="character" w:customStyle="1" w:styleId="CommentSubjectChar">
    <w:name w:val="Comment Subject Char"/>
    <w:basedOn w:val="CommentTextChar"/>
    <w:link w:val="CommentSubject"/>
    <w:uiPriority w:val="99"/>
    <w:semiHidden/>
    <w:rsid w:val="00AF3C77"/>
    <w:rPr>
      <w:b/>
      <w:bCs/>
      <w:sz w:val="20"/>
      <w:szCs w:val="20"/>
    </w:rPr>
  </w:style>
  <w:style w:type="character" w:styleId="Hyperlink">
    <w:name w:val="Hyperlink"/>
    <w:basedOn w:val="DefaultParagraphFont"/>
    <w:uiPriority w:val="99"/>
    <w:unhideWhenUsed/>
    <w:rsid w:val="00AF3C77"/>
    <w:rPr>
      <w:color w:val="0000FF" w:themeColor="hyperlink"/>
      <w:u w:val="single"/>
    </w:rPr>
  </w:style>
  <w:style w:type="character" w:styleId="UnresolvedMention">
    <w:name w:val="Unresolved Mention"/>
    <w:basedOn w:val="DefaultParagraphFont"/>
    <w:uiPriority w:val="99"/>
    <w:semiHidden/>
    <w:unhideWhenUsed/>
    <w:rsid w:val="00AF3C77"/>
    <w:rPr>
      <w:color w:val="605E5C"/>
      <w:shd w:val="clear" w:color="auto" w:fill="E1DFDD"/>
    </w:rPr>
  </w:style>
  <w:style w:type="paragraph" w:styleId="Header">
    <w:name w:val="header"/>
    <w:basedOn w:val="Normal"/>
    <w:link w:val="HeaderChar"/>
    <w:uiPriority w:val="99"/>
    <w:unhideWhenUsed/>
    <w:qFormat/>
    <w:rsid w:val="000F2543"/>
    <w:pPr>
      <w:tabs>
        <w:tab w:val="center" w:pos="4680"/>
        <w:tab w:val="right" w:pos="9360"/>
      </w:tabs>
      <w:spacing w:line="240" w:lineRule="auto"/>
    </w:pPr>
  </w:style>
  <w:style w:type="character" w:customStyle="1" w:styleId="HeaderChar">
    <w:name w:val="Header Char"/>
    <w:basedOn w:val="DefaultParagraphFont"/>
    <w:link w:val="Header"/>
    <w:uiPriority w:val="99"/>
    <w:rsid w:val="000F2543"/>
  </w:style>
  <w:style w:type="paragraph" w:styleId="Footer">
    <w:name w:val="footer"/>
    <w:basedOn w:val="Normal"/>
    <w:link w:val="FooterChar"/>
    <w:uiPriority w:val="99"/>
    <w:unhideWhenUsed/>
    <w:rsid w:val="000F2543"/>
    <w:pPr>
      <w:tabs>
        <w:tab w:val="center" w:pos="4680"/>
        <w:tab w:val="right" w:pos="9360"/>
      </w:tabs>
      <w:spacing w:line="240" w:lineRule="auto"/>
    </w:pPr>
  </w:style>
  <w:style w:type="character" w:customStyle="1" w:styleId="FooterChar">
    <w:name w:val="Footer Char"/>
    <w:basedOn w:val="DefaultParagraphFont"/>
    <w:link w:val="Footer"/>
    <w:uiPriority w:val="99"/>
    <w:rsid w:val="000F2543"/>
  </w:style>
  <w:style w:type="paragraph" w:styleId="ListParagraph">
    <w:name w:val="List Paragraph"/>
    <w:basedOn w:val="Normal"/>
    <w:uiPriority w:val="34"/>
    <w:qFormat/>
    <w:rsid w:val="00263D36"/>
    <w:pPr>
      <w:ind w:left="720"/>
      <w:contextualSpacing/>
    </w:pPr>
  </w:style>
  <w:style w:type="table" w:styleId="TableGrid">
    <w:name w:val="Table Grid"/>
    <w:basedOn w:val="TableNormal"/>
    <w:uiPriority w:val="39"/>
    <w:rsid w:val="007E5C19"/>
    <w:pPr>
      <w:spacing w:line="240" w:lineRule="auto"/>
    </w:pPr>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uiPriority w:val="10"/>
    <w:qFormat/>
    <w:rsid w:val="007E5C19"/>
    <w:pPr>
      <w:spacing w:line="480" w:lineRule="auto"/>
      <w:ind w:firstLine="720"/>
      <w:jc w:val="center"/>
    </w:pPr>
    <w:rPr>
      <w:rFonts w:asciiTheme="minorHAnsi" w:eastAsiaTheme="minorHAnsi" w:hAnsiTheme="minorHAnsi" w:cstheme="minorBidi"/>
      <w:b/>
      <w:bCs/>
      <w:sz w:val="22"/>
      <w:szCs w:val="22"/>
      <w:lang w:val="en-US"/>
    </w:rPr>
  </w:style>
  <w:style w:type="paragraph" w:customStyle="1" w:styleId="CaptionCallout">
    <w:name w:val="Caption Callout"/>
    <w:basedOn w:val="Normal"/>
    <w:qFormat/>
    <w:rsid w:val="007E5C19"/>
    <w:pPr>
      <w:spacing w:line="480" w:lineRule="auto"/>
    </w:pPr>
    <w:rPr>
      <w:rFonts w:asciiTheme="minorHAnsi" w:eastAsiaTheme="minorHAnsi" w:hAnsiTheme="minorHAnsi" w:cstheme="minorBidi"/>
      <w:b/>
      <w:sz w:val="22"/>
      <w:szCs w:val="22"/>
      <w:lang w:val="en-US"/>
    </w:rPr>
  </w:style>
  <w:style w:type="character" w:styleId="PageNumber">
    <w:name w:val="page number"/>
    <w:basedOn w:val="DefaultParagraphFont"/>
    <w:uiPriority w:val="99"/>
    <w:semiHidden/>
    <w:unhideWhenUsed/>
    <w:rsid w:val="00770031"/>
  </w:style>
  <w:style w:type="character" w:styleId="FollowedHyperlink">
    <w:name w:val="FollowedHyperlink"/>
    <w:basedOn w:val="DefaultParagraphFont"/>
    <w:uiPriority w:val="99"/>
    <w:semiHidden/>
    <w:unhideWhenUsed/>
    <w:rsid w:val="00823AFD"/>
    <w:rPr>
      <w:color w:val="800080" w:themeColor="followedHyperlink"/>
      <w:u w:val="single"/>
    </w:rPr>
  </w:style>
  <w:style w:type="character" w:styleId="Strong">
    <w:name w:val="Strong"/>
    <w:basedOn w:val="DefaultParagraphFont"/>
    <w:uiPriority w:val="22"/>
    <w:unhideWhenUsed/>
    <w:qFormat/>
    <w:rsid w:val="00C21FA2"/>
    <w:rPr>
      <w:b w:val="0"/>
      <w:bCs w:val="0"/>
      <w:caps/>
      <w:smallCaps w:val="0"/>
    </w:rPr>
  </w:style>
  <w:style w:type="paragraph" w:styleId="NoSpacing">
    <w:name w:val="No Spacing"/>
    <w:aliases w:val="No Indent"/>
    <w:uiPriority w:val="3"/>
    <w:qFormat/>
    <w:rsid w:val="00D96E39"/>
    <w:pPr>
      <w:spacing w:line="240" w:lineRule="auto"/>
      <w:jc w:val="center"/>
    </w:pPr>
    <w:rPr>
      <w:rFonts w:eastAsiaTheme="minorEastAsia"/>
      <w:sz w:val="20"/>
      <w:szCs w:val="20"/>
      <w:lang w:val="en-US" w:eastAsia="ja-JP"/>
    </w:rPr>
  </w:style>
  <w:style w:type="character" w:styleId="Emphasis">
    <w:name w:val="Emphasis"/>
    <w:basedOn w:val="DefaultParagraphFont"/>
    <w:uiPriority w:val="20"/>
    <w:unhideWhenUsed/>
    <w:qFormat/>
    <w:rsid w:val="00C21FA2"/>
    <w:rPr>
      <w:i/>
      <w:iCs/>
    </w:rPr>
  </w:style>
  <w:style w:type="table" w:customStyle="1" w:styleId="APAReport">
    <w:name w:val="APA Report"/>
    <w:basedOn w:val="TableNormal"/>
    <w:uiPriority w:val="99"/>
    <w:rsid w:val="00C21FA2"/>
    <w:pPr>
      <w:spacing w:line="240" w:lineRule="auto"/>
    </w:pPr>
    <w:rPr>
      <w:rFonts w:asciiTheme="minorHAnsi" w:eastAsiaTheme="minorEastAsia" w:hAnsiTheme="minorHAnsi" w:cstheme="minorBidi"/>
      <w:lang w:val="en-US" w:eastAsia="ja-JP"/>
    </w:r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autoRedefine/>
    <w:uiPriority w:val="4"/>
    <w:qFormat/>
    <w:rsid w:val="00C21FA2"/>
    <w:pPr>
      <w:spacing w:before="240" w:line="240" w:lineRule="auto"/>
      <w:contextualSpacing/>
    </w:pPr>
    <w:rPr>
      <w:rFonts w:asciiTheme="minorHAnsi" w:eastAsiaTheme="minorEastAsia" w:hAnsiTheme="minorHAnsi" w:cstheme="minorBidi"/>
      <w:kern w:val="24"/>
      <w:lang w:val="en-US" w:eastAsia="ja-JP"/>
    </w:rPr>
  </w:style>
  <w:style w:type="character" w:customStyle="1" w:styleId="Heading7Char">
    <w:name w:val="Heading 7 Char"/>
    <w:basedOn w:val="DefaultParagraphFont"/>
    <w:link w:val="Heading7"/>
    <w:uiPriority w:val="9"/>
    <w:semiHidden/>
    <w:rsid w:val="00403D84"/>
    <w:rPr>
      <w:rFonts w:asciiTheme="majorHAnsi" w:eastAsiaTheme="majorEastAsia" w:hAnsiTheme="majorHAnsi" w:cstheme="majorBidi"/>
      <w:i/>
      <w:iCs/>
      <w:color w:val="243F60" w:themeColor="accent1" w:themeShade="7F"/>
      <w:lang w:val="en-US" w:eastAsia="ja-JP"/>
    </w:rPr>
  </w:style>
  <w:style w:type="character" w:customStyle="1" w:styleId="Heading8Char">
    <w:name w:val="Heading 8 Char"/>
    <w:basedOn w:val="DefaultParagraphFont"/>
    <w:link w:val="Heading8"/>
    <w:uiPriority w:val="9"/>
    <w:semiHidden/>
    <w:rsid w:val="00403D84"/>
    <w:rPr>
      <w:rFonts w:asciiTheme="majorHAnsi" w:eastAsiaTheme="majorEastAsia" w:hAnsiTheme="majorHAnsi" w:cstheme="majorBidi"/>
      <w:color w:val="272727" w:themeColor="text1" w:themeTint="D8"/>
      <w:sz w:val="21"/>
      <w:szCs w:val="21"/>
      <w:lang w:val="en-US" w:eastAsia="ja-JP"/>
    </w:rPr>
  </w:style>
  <w:style w:type="character" w:customStyle="1" w:styleId="Heading9Char">
    <w:name w:val="Heading 9 Char"/>
    <w:basedOn w:val="DefaultParagraphFont"/>
    <w:link w:val="Heading9"/>
    <w:uiPriority w:val="9"/>
    <w:semiHidden/>
    <w:rsid w:val="00403D84"/>
    <w:rPr>
      <w:rFonts w:asciiTheme="majorHAnsi" w:eastAsiaTheme="majorEastAsia" w:hAnsiTheme="majorHAnsi" w:cstheme="majorBidi"/>
      <w:i/>
      <w:iCs/>
      <w:color w:val="272727" w:themeColor="text1" w:themeTint="D8"/>
      <w:sz w:val="21"/>
      <w:szCs w:val="21"/>
      <w:lang w:val="en-US" w:eastAsia="ja-JP"/>
    </w:rPr>
  </w:style>
  <w:style w:type="character" w:customStyle="1" w:styleId="Heading1Char">
    <w:name w:val="Heading 1 Char"/>
    <w:basedOn w:val="DefaultParagraphFont"/>
    <w:link w:val="Heading1"/>
    <w:uiPriority w:val="9"/>
    <w:rsid w:val="00A16ACD"/>
    <w:rPr>
      <w:b/>
    </w:rPr>
  </w:style>
  <w:style w:type="character" w:customStyle="1" w:styleId="Heading2Char">
    <w:name w:val="Heading 2 Char"/>
    <w:basedOn w:val="DefaultParagraphFont"/>
    <w:link w:val="Heading2"/>
    <w:uiPriority w:val="9"/>
    <w:rsid w:val="00572B2E"/>
    <w:rPr>
      <w:b/>
      <w:bCs/>
    </w:rPr>
  </w:style>
  <w:style w:type="character" w:customStyle="1" w:styleId="Heading3Char">
    <w:name w:val="Heading 3 Char"/>
    <w:basedOn w:val="DefaultParagraphFont"/>
    <w:link w:val="Heading3"/>
    <w:uiPriority w:val="9"/>
    <w:rsid w:val="00403D84"/>
    <w:rPr>
      <w:b/>
      <w:bCs/>
      <w:i/>
      <w:iCs/>
    </w:rPr>
  </w:style>
  <w:style w:type="character" w:customStyle="1" w:styleId="Heading4Char">
    <w:name w:val="Heading 4 Char"/>
    <w:basedOn w:val="DefaultParagraphFont"/>
    <w:link w:val="Heading4"/>
    <w:uiPriority w:val="4"/>
    <w:rsid w:val="00FD21C6"/>
    <w:rPr>
      <w:b/>
      <w:bCs/>
    </w:rPr>
  </w:style>
  <w:style w:type="character" w:customStyle="1" w:styleId="Heading5Char">
    <w:name w:val="Heading 5 Char"/>
    <w:basedOn w:val="DefaultParagraphFont"/>
    <w:link w:val="Heading5"/>
    <w:uiPriority w:val="4"/>
    <w:rsid w:val="00403D84"/>
    <w:rPr>
      <w:color w:val="666666"/>
      <w:sz w:val="22"/>
      <w:szCs w:val="22"/>
    </w:rPr>
  </w:style>
  <w:style w:type="character" w:customStyle="1" w:styleId="Heading6Char">
    <w:name w:val="Heading 6 Char"/>
    <w:basedOn w:val="DefaultParagraphFont"/>
    <w:link w:val="Heading6"/>
    <w:uiPriority w:val="9"/>
    <w:semiHidden/>
    <w:rsid w:val="00403D84"/>
    <w:rPr>
      <w:i/>
      <w:color w:val="666666"/>
      <w:sz w:val="22"/>
      <w:szCs w:val="22"/>
    </w:rPr>
  </w:style>
  <w:style w:type="paragraph" w:customStyle="1" w:styleId="SectionTitle">
    <w:name w:val="Section Title"/>
    <w:basedOn w:val="Normal"/>
    <w:next w:val="Normal"/>
    <w:autoRedefine/>
    <w:uiPriority w:val="2"/>
    <w:qFormat/>
    <w:rsid w:val="00761738"/>
    <w:pPr>
      <w:pageBreakBefore/>
      <w:spacing w:line="480" w:lineRule="auto"/>
      <w:jc w:val="center"/>
      <w:outlineLvl w:val="0"/>
    </w:pPr>
    <w:rPr>
      <w:rFonts w:eastAsiaTheme="majorEastAsia"/>
      <w:b/>
      <w:bCs/>
      <w:lang w:val="en-US" w:eastAsia="ja-JP"/>
    </w:rPr>
  </w:style>
  <w:style w:type="character" w:styleId="PlaceholderText">
    <w:name w:val="Placeholder Text"/>
    <w:basedOn w:val="DefaultParagraphFont"/>
    <w:uiPriority w:val="99"/>
    <w:semiHidden/>
    <w:rsid w:val="00403D84"/>
    <w:rPr>
      <w:color w:val="808080"/>
    </w:rPr>
  </w:style>
  <w:style w:type="character" w:customStyle="1" w:styleId="TitleChar">
    <w:name w:val="Title Char"/>
    <w:basedOn w:val="DefaultParagraphFont"/>
    <w:link w:val="Title"/>
    <w:uiPriority w:val="1"/>
    <w:rsid w:val="00403D84"/>
    <w:rPr>
      <w:sz w:val="52"/>
      <w:szCs w:val="52"/>
    </w:rPr>
  </w:style>
  <w:style w:type="paragraph" w:styleId="BalloonText">
    <w:name w:val="Balloon Text"/>
    <w:basedOn w:val="Normal"/>
    <w:link w:val="BalloonTextChar"/>
    <w:uiPriority w:val="99"/>
    <w:semiHidden/>
    <w:unhideWhenUsed/>
    <w:rsid w:val="00403D84"/>
    <w:pPr>
      <w:spacing w:line="240" w:lineRule="auto"/>
    </w:pPr>
    <w:rPr>
      <w:rFonts w:ascii="Segoe UI" w:hAnsi="Segoe UI" w:cs="Segoe UI"/>
      <w:sz w:val="18"/>
      <w:szCs w:val="18"/>
      <w:lang w:val="en-US" w:eastAsia="ja-JP"/>
    </w:rPr>
  </w:style>
  <w:style w:type="character" w:customStyle="1" w:styleId="BalloonTextChar">
    <w:name w:val="Balloon Text Char"/>
    <w:basedOn w:val="DefaultParagraphFont"/>
    <w:link w:val="BalloonText"/>
    <w:uiPriority w:val="99"/>
    <w:semiHidden/>
    <w:rsid w:val="00403D84"/>
    <w:rPr>
      <w:rFonts w:ascii="Segoe UI" w:hAnsi="Segoe UI" w:cs="Segoe UI"/>
      <w:sz w:val="18"/>
      <w:szCs w:val="18"/>
      <w:lang w:val="en-US" w:eastAsia="ja-JP"/>
    </w:rPr>
  </w:style>
  <w:style w:type="paragraph" w:styleId="Bibliography">
    <w:name w:val="Bibliography"/>
    <w:basedOn w:val="Normal"/>
    <w:next w:val="Normal"/>
    <w:autoRedefine/>
    <w:uiPriority w:val="37"/>
    <w:unhideWhenUsed/>
    <w:qFormat/>
    <w:rsid w:val="00403D84"/>
    <w:pPr>
      <w:spacing w:line="480" w:lineRule="auto"/>
      <w:ind w:left="720" w:hanging="720"/>
    </w:pPr>
    <w:rPr>
      <w:lang w:val="en-US" w:eastAsia="ja-JP"/>
    </w:rPr>
  </w:style>
  <w:style w:type="paragraph" w:styleId="BlockText">
    <w:name w:val="Block Text"/>
    <w:basedOn w:val="Normal"/>
    <w:uiPriority w:val="99"/>
    <w:semiHidden/>
    <w:unhideWhenUsed/>
    <w:rsid w:val="00403D84"/>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line="240" w:lineRule="auto"/>
      <w:ind w:left="1152" w:right="1152"/>
    </w:pPr>
    <w:rPr>
      <w:i/>
      <w:iCs/>
      <w:color w:val="4F81BD" w:themeColor="accent1"/>
      <w:lang w:val="en-US" w:eastAsia="ja-JP"/>
    </w:rPr>
  </w:style>
  <w:style w:type="paragraph" w:styleId="BodyText">
    <w:name w:val="Body Text"/>
    <w:basedOn w:val="Normal"/>
    <w:link w:val="BodyTextChar"/>
    <w:uiPriority w:val="99"/>
    <w:semiHidden/>
    <w:unhideWhenUsed/>
    <w:rsid w:val="00403D84"/>
    <w:pPr>
      <w:spacing w:after="120" w:line="240" w:lineRule="auto"/>
    </w:pPr>
    <w:rPr>
      <w:lang w:val="en-US" w:eastAsia="ja-JP"/>
    </w:rPr>
  </w:style>
  <w:style w:type="character" w:customStyle="1" w:styleId="BodyTextChar">
    <w:name w:val="Body Text Char"/>
    <w:basedOn w:val="DefaultParagraphFont"/>
    <w:link w:val="BodyText"/>
    <w:uiPriority w:val="99"/>
    <w:semiHidden/>
    <w:rsid w:val="00403D84"/>
    <w:rPr>
      <w:lang w:val="en-US" w:eastAsia="ja-JP"/>
    </w:rPr>
  </w:style>
  <w:style w:type="paragraph" w:styleId="BodyText2">
    <w:name w:val="Body Text 2"/>
    <w:basedOn w:val="Normal"/>
    <w:link w:val="BodyText2Char"/>
    <w:uiPriority w:val="99"/>
    <w:semiHidden/>
    <w:unhideWhenUsed/>
    <w:rsid w:val="00403D84"/>
    <w:pPr>
      <w:spacing w:after="120" w:line="240" w:lineRule="auto"/>
    </w:pPr>
    <w:rPr>
      <w:lang w:val="en-US" w:eastAsia="ja-JP"/>
    </w:rPr>
  </w:style>
  <w:style w:type="character" w:customStyle="1" w:styleId="BodyText2Char">
    <w:name w:val="Body Text 2 Char"/>
    <w:basedOn w:val="DefaultParagraphFont"/>
    <w:link w:val="BodyText2"/>
    <w:uiPriority w:val="99"/>
    <w:semiHidden/>
    <w:rsid w:val="00403D84"/>
    <w:rPr>
      <w:lang w:val="en-US" w:eastAsia="ja-JP"/>
    </w:rPr>
  </w:style>
  <w:style w:type="paragraph" w:styleId="BodyText3">
    <w:name w:val="Body Text 3"/>
    <w:basedOn w:val="Normal"/>
    <w:link w:val="BodyText3Char"/>
    <w:uiPriority w:val="99"/>
    <w:semiHidden/>
    <w:unhideWhenUsed/>
    <w:rsid w:val="00403D84"/>
    <w:pPr>
      <w:spacing w:after="120" w:line="240" w:lineRule="auto"/>
    </w:pPr>
    <w:rPr>
      <w:sz w:val="16"/>
      <w:szCs w:val="16"/>
      <w:lang w:val="en-US" w:eastAsia="ja-JP"/>
    </w:rPr>
  </w:style>
  <w:style w:type="character" w:customStyle="1" w:styleId="BodyText3Char">
    <w:name w:val="Body Text 3 Char"/>
    <w:basedOn w:val="DefaultParagraphFont"/>
    <w:link w:val="BodyText3"/>
    <w:uiPriority w:val="99"/>
    <w:semiHidden/>
    <w:rsid w:val="00403D84"/>
    <w:rPr>
      <w:sz w:val="16"/>
      <w:szCs w:val="16"/>
      <w:lang w:val="en-US" w:eastAsia="ja-JP"/>
    </w:rPr>
  </w:style>
  <w:style w:type="paragraph" w:styleId="BodyTextFirstIndent">
    <w:name w:val="Body Text First Indent"/>
    <w:basedOn w:val="BodyText"/>
    <w:link w:val="BodyTextFirstIndentChar"/>
    <w:uiPriority w:val="99"/>
    <w:semiHidden/>
    <w:unhideWhenUsed/>
    <w:rsid w:val="00403D84"/>
    <w:pPr>
      <w:spacing w:after="0"/>
    </w:pPr>
  </w:style>
  <w:style w:type="character" w:customStyle="1" w:styleId="BodyTextFirstIndentChar">
    <w:name w:val="Body Text First Indent Char"/>
    <w:basedOn w:val="BodyTextChar"/>
    <w:link w:val="BodyTextFirstIndent"/>
    <w:uiPriority w:val="99"/>
    <w:semiHidden/>
    <w:rsid w:val="00403D84"/>
    <w:rPr>
      <w:lang w:val="en-US" w:eastAsia="ja-JP"/>
    </w:rPr>
  </w:style>
  <w:style w:type="paragraph" w:styleId="BodyTextIndent">
    <w:name w:val="Body Text Indent"/>
    <w:basedOn w:val="Normal"/>
    <w:link w:val="BodyTextIndentChar"/>
    <w:uiPriority w:val="99"/>
    <w:semiHidden/>
    <w:unhideWhenUsed/>
    <w:rsid w:val="00403D84"/>
    <w:pPr>
      <w:spacing w:after="120" w:line="240" w:lineRule="auto"/>
      <w:ind w:left="360"/>
    </w:pPr>
    <w:rPr>
      <w:lang w:val="en-US" w:eastAsia="ja-JP"/>
    </w:rPr>
  </w:style>
  <w:style w:type="character" w:customStyle="1" w:styleId="BodyTextIndentChar">
    <w:name w:val="Body Text Indent Char"/>
    <w:basedOn w:val="DefaultParagraphFont"/>
    <w:link w:val="BodyTextIndent"/>
    <w:uiPriority w:val="99"/>
    <w:semiHidden/>
    <w:rsid w:val="00403D84"/>
    <w:rPr>
      <w:lang w:val="en-US" w:eastAsia="ja-JP"/>
    </w:rPr>
  </w:style>
  <w:style w:type="paragraph" w:styleId="BodyTextFirstIndent2">
    <w:name w:val="Body Text First Indent 2"/>
    <w:basedOn w:val="BodyTextIndent"/>
    <w:link w:val="BodyTextFirstIndent2Char"/>
    <w:uiPriority w:val="99"/>
    <w:semiHidden/>
    <w:unhideWhenUsed/>
    <w:rsid w:val="00403D84"/>
    <w:pPr>
      <w:spacing w:after="0"/>
    </w:pPr>
  </w:style>
  <w:style w:type="character" w:customStyle="1" w:styleId="BodyTextFirstIndent2Char">
    <w:name w:val="Body Text First Indent 2 Char"/>
    <w:basedOn w:val="BodyTextIndentChar"/>
    <w:link w:val="BodyTextFirstIndent2"/>
    <w:uiPriority w:val="99"/>
    <w:semiHidden/>
    <w:rsid w:val="00403D84"/>
    <w:rPr>
      <w:lang w:val="en-US" w:eastAsia="ja-JP"/>
    </w:rPr>
  </w:style>
  <w:style w:type="paragraph" w:styleId="BodyTextIndent2">
    <w:name w:val="Body Text Indent 2"/>
    <w:basedOn w:val="Normal"/>
    <w:link w:val="BodyTextIndent2Char"/>
    <w:uiPriority w:val="99"/>
    <w:semiHidden/>
    <w:unhideWhenUsed/>
    <w:rsid w:val="00403D84"/>
    <w:pPr>
      <w:spacing w:after="120" w:line="240" w:lineRule="auto"/>
      <w:ind w:left="360"/>
    </w:pPr>
    <w:rPr>
      <w:lang w:val="en-US" w:eastAsia="ja-JP"/>
    </w:rPr>
  </w:style>
  <w:style w:type="character" w:customStyle="1" w:styleId="BodyTextIndent2Char">
    <w:name w:val="Body Text Indent 2 Char"/>
    <w:basedOn w:val="DefaultParagraphFont"/>
    <w:link w:val="BodyTextIndent2"/>
    <w:uiPriority w:val="99"/>
    <w:semiHidden/>
    <w:rsid w:val="00403D84"/>
    <w:rPr>
      <w:lang w:val="en-US" w:eastAsia="ja-JP"/>
    </w:rPr>
  </w:style>
  <w:style w:type="paragraph" w:styleId="BodyTextIndent3">
    <w:name w:val="Body Text Indent 3"/>
    <w:basedOn w:val="Normal"/>
    <w:link w:val="BodyTextIndent3Char"/>
    <w:uiPriority w:val="99"/>
    <w:semiHidden/>
    <w:unhideWhenUsed/>
    <w:rsid w:val="00403D84"/>
    <w:pPr>
      <w:spacing w:after="120" w:line="240" w:lineRule="auto"/>
      <w:ind w:left="360"/>
    </w:pPr>
    <w:rPr>
      <w:sz w:val="16"/>
      <w:szCs w:val="16"/>
      <w:lang w:val="en-US" w:eastAsia="ja-JP"/>
    </w:rPr>
  </w:style>
  <w:style w:type="character" w:customStyle="1" w:styleId="BodyTextIndent3Char">
    <w:name w:val="Body Text Indent 3 Char"/>
    <w:basedOn w:val="DefaultParagraphFont"/>
    <w:link w:val="BodyTextIndent3"/>
    <w:uiPriority w:val="99"/>
    <w:semiHidden/>
    <w:rsid w:val="00403D84"/>
    <w:rPr>
      <w:sz w:val="16"/>
      <w:szCs w:val="16"/>
      <w:lang w:val="en-US" w:eastAsia="ja-JP"/>
    </w:rPr>
  </w:style>
  <w:style w:type="paragraph" w:styleId="Caption">
    <w:name w:val="caption"/>
    <w:basedOn w:val="Normal"/>
    <w:next w:val="Normal"/>
    <w:uiPriority w:val="35"/>
    <w:semiHidden/>
    <w:unhideWhenUsed/>
    <w:qFormat/>
    <w:rsid w:val="00403D84"/>
    <w:pPr>
      <w:spacing w:after="200" w:line="240" w:lineRule="auto"/>
    </w:pPr>
    <w:rPr>
      <w:i/>
      <w:iCs/>
      <w:color w:val="1F497D" w:themeColor="text2"/>
      <w:sz w:val="18"/>
      <w:szCs w:val="18"/>
      <w:lang w:val="en-US" w:eastAsia="ja-JP"/>
    </w:rPr>
  </w:style>
  <w:style w:type="paragraph" w:styleId="Closing">
    <w:name w:val="Closing"/>
    <w:basedOn w:val="Normal"/>
    <w:link w:val="ClosingChar"/>
    <w:uiPriority w:val="99"/>
    <w:semiHidden/>
    <w:unhideWhenUsed/>
    <w:rsid w:val="00403D84"/>
    <w:pPr>
      <w:spacing w:line="240" w:lineRule="auto"/>
      <w:ind w:left="4320"/>
    </w:pPr>
    <w:rPr>
      <w:lang w:val="en-US" w:eastAsia="ja-JP"/>
    </w:rPr>
  </w:style>
  <w:style w:type="character" w:customStyle="1" w:styleId="ClosingChar">
    <w:name w:val="Closing Char"/>
    <w:basedOn w:val="DefaultParagraphFont"/>
    <w:link w:val="Closing"/>
    <w:uiPriority w:val="99"/>
    <w:semiHidden/>
    <w:rsid w:val="00403D84"/>
    <w:rPr>
      <w:lang w:val="en-US" w:eastAsia="ja-JP"/>
    </w:rPr>
  </w:style>
  <w:style w:type="paragraph" w:styleId="Date">
    <w:name w:val="Date"/>
    <w:basedOn w:val="Normal"/>
    <w:next w:val="Normal"/>
    <w:link w:val="DateChar"/>
    <w:uiPriority w:val="99"/>
    <w:semiHidden/>
    <w:unhideWhenUsed/>
    <w:rsid w:val="00403D84"/>
    <w:pPr>
      <w:spacing w:line="240" w:lineRule="auto"/>
    </w:pPr>
    <w:rPr>
      <w:lang w:val="en-US" w:eastAsia="ja-JP"/>
    </w:rPr>
  </w:style>
  <w:style w:type="character" w:customStyle="1" w:styleId="DateChar">
    <w:name w:val="Date Char"/>
    <w:basedOn w:val="DefaultParagraphFont"/>
    <w:link w:val="Date"/>
    <w:uiPriority w:val="99"/>
    <w:semiHidden/>
    <w:rsid w:val="00403D84"/>
    <w:rPr>
      <w:lang w:val="en-US" w:eastAsia="ja-JP"/>
    </w:rPr>
  </w:style>
  <w:style w:type="paragraph" w:styleId="DocumentMap">
    <w:name w:val="Document Map"/>
    <w:basedOn w:val="Normal"/>
    <w:link w:val="DocumentMapChar"/>
    <w:uiPriority w:val="99"/>
    <w:semiHidden/>
    <w:unhideWhenUsed/>
    <w:rsid w:val="00403D84"/>
    <w:pPr>
      <w:spacing w:line="240" w:lineRule="auto"/>
    </w:pPr>
    <w:rPr>
      <w:rFonts w:ascii="Segoe UI" w:hAnsi="Segoe UI" w:cs="Segoe UI"/>
      <w:sz w:val="16"/>
      <w:szCs w:val="16"/>
      <w:lang w:val="en-US" w:eastAsia="ja-JP"/>
    </w:rPr>
  </w:style>
  <w:style w:type="character" w:customStyle="1" w:styleId="DocumentMapChar">
    <w:name w:val="Document Map Char"/>
    <w:basedOn w:val="DefaultParagraphFont"/>
    <w:link w:val="DocumentMap"/>
    <w:uiPriority w:val="99"/>
    <w:semiHidden/>
    <w:rsid w:val="00403D84"/>
    <w:rPr>
      <w:rFonts w:ascii="Segoe UI" w:hAnsi="Segoe UI" w:cs="Segoe UI"/>
      <w:sz w:val="16"/>
      <w:szCs w:val="16"/>
      <w:lang w:val="en-US" w:eastAsia="ja-JP"/>
    </w:rPr>
  </w:style>
  <w:style w:type="paragraph" w:styleId="E-mailSignature">
    <w:name w:val="E-mail Signature"/>
    <w:basedOn w:val="Normal"/>
    <w:link w:val="E-mailSignatureChar"/>
    <w:uiPriority w:val="99"/>
    <w:semiHidden/>
    <w:unhideWhenUsed/>
    <w:rsid w:val="00403D84"/>
    <w:pPr>
      <w:spacing w:line="240" w:lineRule="auto"/>
    </w:pPr>
    <w:rPr>
      <w:lang w:val="en-US" w:eastAsia="ja-JP"/>
    </w:rPr>
  </w:style>
  <w:style w:type="character" w:customStyle="1" w:styleId="E-mailSignatureChar">
    <w:name w:val="E-mail Signature Char"/>
    <w:basedOn w:val="DefaultParagraphFont"/>
    <w:link w:val="E-mailSignature"/>
    <w:uiPriority w:val="99"/>
    <w:semiHidden/>
    <w:rsid w:val="00403D84"/>
    <w:rPr>
      <w:lang w:val="en-US" w:eastAsia="ja-JP"/>
    </w:rPr>
  </w:style>
  <w:style w:type="paragraph" w:styleId="FootnoteText">
    <w:name w:val="footnote text"/>
    <w:basedOn w:val="Normal"/>
    <w:link w:val="FootnoteTextChar"/>
    <w:uiPriority w:val="99"/>
    <w:semiHidden/>
    <w:unhideWhenUsed/>
    <w:rsid w:val="00403D84"/>
    <w:pPr>
      <w:spacing w:line="240" w:lineRule="auto"/>
    </w:pPr>
    <w:rPr>
      <w:sz w:val="20"/>
      <w:szCs w:val="20"/>
      <w:lang w:val="en-US" w:eastAsia="ja-JP"/>
    </w:rPr>
  </w:style>
  <w:style w:type="character" w:customStyle="1" w:styleId="FootnoteTextChar">
    <w:name w:val="Footnote Text Char"/>
    <w:basedOn w:val="DefaultParagraphFont"/>
    <w:link w:val="FootnoteText"/>
    <w:uiPriority w:val="99"/>
    <w:semiHidden/>
    <w:rsid w:val="00403D84"/>
    <w:rPr>
      <w:sz w:val="20"/>
      <w:szCs w:val="20"/>
      <w:lang w:val="en-US" w:eastAsia="ja-JP"/>
    </w:rPr>
  </w:style>
  <w:style w:type="paragraph" w:styleId="EnvelopeAddress">
    <w:name w:val="envelope address"/>
    <w:basedOn w:val="Normal"/>
    <w:uiPriority w:val="99"/>
    <w:semiHidden/>
    <w:unhideWhenUsed/>
    <w:rsid w:val="00403D84"/>
    <w:pPr>
      <w:framePr w:w="7920" w:h="1980" w:hRule="exact" w:hSpace="180" w:wrap="auto" w:hAnchor="page" w:xAlign="center" w:yAlign="bottom"/>
      <w:spacing w:line="240" w:lineRule="auto"/>
      <w:ind w:left="2880"/>
    </w:pPr>
    <w:rPr>
      <w:rFonts w:asciiTheme="majorHAnsi" w:eastAsiaTheme="majorEastAsia" w:hAnsiTheme="majorHAnsi" w:cstheme="majorBidi"/>
      <w:lang w:val="en-US" w:eastAsia="ja-JP"/>
    </w:rPr>
  </w:style>
  <w:style w:type="paragraph" w:styleId="EnvelopeReturn">
    <w:name w:val="envelope return"/>
    <w:basedOn w:val="Normal"/>
    <w:uiPriority w:val="99"/>
    <w:semiHidden/>
    <w:unhideWhenUsed/>
    <w:rsid w:val="00403D84"/>
    <w:pPr>
      <w:spacing w:line="240" w:lineRule="auto"/>
    </w:pPr>
    <w:rPr>
      <w:rFonts w:asciiTheme="majorHAnsi" w:eastAsiaTheme="majorEastAsia" w:hAnsiTheme="majorHAnsi" w:cstheme="majorBidi"/>
      <w:sz w:val="20"/>
      <w:szCs w:val="20"/>
      <w:lang w:val="en-US" w:eastAsia="ja-JP"/>
    </w:rPr>
  </w:style>
  <w:style w:type="table" w:styleId="TableGridLight">
    <w:name w:val="Grid Table Light"/>
    <w:basedOn w:val="TableNormal"/>
    <w:uiPriority w:val="40"/>
    <w:rsid w:val="00403D84"/>
    <w:pPr>
      <w:spacing w:line="240" w:lineRule="auto"/>
      <w:ind w:firstLine="720"/>
    </w:pPr>
    <w:rPr>
      <w:rFonts w:asciiTheme="minorHAnsi" w:eastAsiaTheme="minorEastAsia" w:hAnsiTheme="minorHAnsi" w:cstheme="minorBidi"/>
      <w:lang w:val="en-US"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Address">
    <w:name w:val="HTML Address"/>
    <w:basedOn w:val="Normal"/>
    <w:link w:val="HTMLAddressChar"/>
    <w:uiPriority w:val="99"/>
    <w:semiHidden/>
    <w:unhideWhenUsed/>
    <w:rsid w:val="00403D84"/>
    <w:pPr>
      <w:spacing w:line="240" w:lineRule="auto"/>
    </w:pPr>
    <w:rPr>
      <w:i/>
      <w:iCs/>
      <w:lang w:val="en-US" w:eastAsia="ja-JP"/>
    </w:rPr>
  </w:style>
  <w:style w:type="character" w:customStyle="1" w:styleId="HTMLAddressChar">
    <w:name w:val="HTML Address Char"/>
    <w:basedOn w:val="DefaultParagraphFont"/>
    <w:link w:val="HTMLAddress"/>
    <w:uiPriority w:val="99"/>
    <w:semiHidden/>
    <w:rsid w:val="00403D84"/>
    <w:rPr>
      <w:i/>
      <w:iCs/>
      <w:lang w:val="en-US" w:eastAsia="ja-JP"/>
    </w:rPr>
  </w:style>
  <w:style w:type="paragraph" w:styleId="HTMLPreformatted">
    <w:name w:val="HTML Preformatted"/>
    <w:basedOn w:val="Normal"/>
    <w:link w:val="HTMLPreformattedChar"/>
    <w:uiPriority w:val="99"/>
    <w:semiHidden/>
    <w:unhideWhenUsed/>
    <w:rsid w:val="00403D84"/>
    <w:pPr>
      <w:spacing w:line="240" w:lineRule="auto"/>
    </w:pPr>
    <w:rPr>
      <w:rFonts w:ascii="Consolas" w:hAnsi="Consolas" w:cs="Consolas"/>
      <w:sz w:val="20"/>
      <w:szCs w:val="20"/>
      <w:lang w:val="en-US" w:eastAsia="ja-JP"/>
    </w:rPr>
  </w:style>
  <w:style w:type="character" w:customStyle="1" w:styleId="HTMLPreformattedChar">
    <w:name w:val="HTML Preformatted Char"/>
    <w:basedOn w:val="DefaultParagraphFont"/>
    <w:link w:val="HTMLPreformatted"/>
    <w:uiPriority w:val="99"/>
    <w:semiHidden/>
    <w:rsid w:val="00403D84"/>
    <w:rPr>
      <w:rFonts w:ascii="Consolas" w:hAnsi="Consolas" w:cs="Consolas"/>
      <w:sz w:val="20"/>
      <w:szCs w:val="20"/>
      <w:lang w:val="en-US" w:eastAsia="ja-JP"/>
    </w:rPr>
  </w:style>
  <w:style w:type="paragraph" w:styleId="Index1">
    <w:name w:val="index 1"/>
    <w:basedOn w:val="Normal"/>
    <w:next w:val="Normal"/>
    <w:autoRedefine/>
    <w:uiPriority w:val="99"/>
    <w:semiHidden/>
    <w:unhideWhenUsed/>
    <w:rsid w:val="00403D84"/>
    <w:pPr>
      <w:spacing w:line="240" w:lineRule="auto"/>
      <w:ind w:left="240"/>
    </w:pPr>
    <w:rPr>
      <w:lang w:val="en-US" w:eastAsia="ja-JP"/>
    </w:rPr>
  </w:style>
  <w:style w:type="paragraph" w:styleId="Index2">
    <w:name w:val="index 2"/>
    <w:basedOn w:val="Normal"/>
    <w:next w:val="Normal"/>
    <w:autoRedefine/>
    <w:uiPriority w:val="99"/>
    <w:semiHidden/>
    <w:unhideWhenUsed/>
    <w:rsid w:val="00403D84"/>
    <w:pPr>
      <w:spacing w:line="240" w:lineRule="auto"/>
      <w:ind w:left="480"/>
    </w:pPr>
    <w:rPr>
      <w:lang w:val="en-US" w:eastAsia="ja-JP"/>
    </w:rPr>
  </w:style>
  <w:style w:type="paragraph" w:styleId="Index3">
    <w:name w:val="index 3"/>
    <w:basedOn w:val="Normal"/>
    <w:next w:val="Normal"/>
    <w:autoRedefine/>
    <w:uiPriority w:val="99"/>
    <w:semiHidden/>
    <w:unhideWhenUsed/>
    <w:rsid w:val="00403D84"/>
    <w:pPr>
      <w:spacing w:line="240" w:lineRule="auto"/>
      <w:ind w:left="720"/>
    </w:pPr>
    <w:rPr>
      <w:lang w:val="en-US" w:eastAsia="ja-JP"/>
    </w:rPr>
  </w:style>
  <w:style w:type="paragraph" w:styleId="Index4">
    <w:name w:val="index 4"/>
    <w:basedOn w:val="Normal"/>
    <w:next w:val="Normal"/>
    <w:autoRedefine/>
    <w:uiPriority w:val="99"/>
    <w:semiHidden/>
    <w:unhideWhenUsed/>
    <w:rsid w:val="00403D84"/>
    <w:pPr>
      <w:spacing w:line="240" w:lineRule="auto"/>
      <w:ind w:left="960"/>
    </w:pPr>
    <w:rPr>
      <w:lang w:val="en-US" w:eastAsia="ja-JP"/>
    </w:rPr>
  </w:style>
  <w:style w:type="paragraph" w:styleId="Index5">
    <w:name w:val="index 5"/>
    <w:basedOn w:val="Normal"/>
    <w:next w:val="Normal"/>
    <w:autoRedefine/>
    <w:uiPriority w:val="99"/>
    <w:semiHidden/>
    <w:unhideWhenUsed/>
    <w:rsid w:val="00403D84"/>
    <w:pPr>
      <w:spacing w:line="240" w:lineRule="auto"/>
      <w:ind w:left="1200"/>
    </w:pPr>
    <w:rPr>
      <w:lang w:val="en-US" w:eastAsia="ja-JP"/>
    </w:rPr>
  </w:style>
  <w:style w:type="paragraph" w:styleId="Index6">
    <w:name w:val="index 6"/>
    <w:basedOn w:val="Normal"/>
    <w:next w:val="Normal"/>
    <w:autoRedefine/>
    <w:uiPriority w:val="99"/>
    <w:semiHidden/>
    <w:unhideWhenUsed/>
    <w:rsid w:val="00403D84"/>
    <w:pPr>
      <w:spacing w:line="240" w:lineRule="auto"/>
      <w:ind w:left="1440"/>
    </w:pPr>
    <w:rPr>
      <w:lang w:val="en-US" w:eastAsia="ja-JP"/>
    </w:rPr>
  </w:style>
  <w:style w:type="paragraph" w:styleId="Index7">
    <w:name w:val="index 7"/>
    <w:basedOn w:val="Normal"/>
    <w:next w:val="Normal"/>
    <w:autoRedefine/>
    <w:uiPriority w:val="99"/>
    <w:semiHidden/>
    <w:unhideWhenUsed/>
    <w:rsid w:val="00403D84"/>
    <w:pPr>
      <w:spacing w:line="240" w:lineRule="auto"/>
      <w:ind w:left="1680"/>
    </w:pPr>
    <w:rPr>
      <w:lang w:val="en-US" w:eastAsia="ja-JP"/>
    </w:rPr>
  </w:style>
  <w:style w:type="paragraph" w:styleId="Index8">
    <w:name w:val="index 8"/>
    <w:basedOn w:val="Normal"/>
    <w:next w:val="Normal"/>
    <w:autoRedefine/>
    <w:uiPriority w:val="99"/>
    <w:semiHidden/>
    <w:unhideWhenUsed/>
    <w:rsid w:val="00403D84"/>
    <w:pPr>
      <w:spacing w:line="240" w:lineRule="auto"/>
      <w:ind w:left="1920"/>
    </w:pPr>
    <w:rPr>
      <w:lang w:val="en-US" w:eastAsia="ja-JP"/>
    </w:rPr>
  </w:style>
  <w:style w:type="paragraph" w:styleId="Index9">
    <w:name w:val="index 9"/>
    <w:basedOn w:val="Normal"/>
    <w:next w:val="Normal"/>
    <w:autoRedefine/>
    <w:uiPriority w:val="99"/>
    <w:semiHidden/>
    <w:unhideWhenUsed/>
    <w:rsid w:val="00403D84"/>
    <w:pPr>
      <w:spacing w:line="240" w:lineRule="auto"/>
      <w:ind w:left="2160"/>
    </w:pPr>
    <w:rPr>
      <w:lang w:val="en-US" w:eastAsia="ja-JP"/>
    </w:rPr>
  </w:style>
  <w:style w:type="paragraph" w:styleId="IndexHeading">
    <w:name w:val="index heading"/>
    <w:basedOn w:val="Normal"/>
    <w:next w:val="Index1"/>
    <w:uiPriority w:val="99"/>
    <w:semiHidden/>
    <w:unhideWhenUsed/>
    <w:rsid w:val="00403D84"/>
    <w:pPr>
      <w:spacing w:line="240" w:lineRule="auto"/>
    </w:pPr>
    <w:rPr>
      <w:rFonts w:asciiTheme="majorHAnsi" w:eastAsiaTheme="majorEastAsia" w:hAnsiTheme="majorHAnsi" w:cstheme="majorBidi"/>
      <w:b/>
      <w:bCs/>
      <w:lang w:val="en-US" w:eastAsia="ja-JP"/>
    </w:rPr>
  </w:style>
  <w:style w:type="paragraph" w:styleId="IntenseQuote">
    <w:name w:val="Intense Quote"/>
    <w:basedOn w:val="Normal"/>
    <w:next w:val="Normal"/>
    <w:link w:val="IntenseQuoteChar"/>
    <w:uiPriority w:val="30"/>
    <w:unhideWhenUsed/>
    <w:qFormat/>
    <w:rsid w:val="00403D84"/>
    <w:pPr>
      <w:pBdr>
        <w:top w:val="single" w:sz="4" w:space="10" w:color="4F81BD" w:themeColor="accent1"/>
        <w:bottom w:val="single" w:sz="4" w:space="10" w:color="4F81BD" w:themeColor="accent1"/>
      </w:pBdr>
      <w:spacing w:before="360" w:after="360" w:line="240" w:lineRule="auto"/>
      <w:ind w:left="864" w:right="864"/>
      <w:jc w:val="center"/>
    </w:pPr>
    <w:rPr>
      <w:i/>
      <w:iCs/>
      <w:color w:val="4F81BD" w:themeColor="accent1"/>
      <w:lang w:val="en-US" w:eastAsia="ja-JP"/>
    </w:rPr>
  </w:style>
  <w:style w:type="character" w:customStyle="1" w:styleId="IntenseQuoteChar">
    <w:name w:val="Intense Quote Char"/>
    <w:basedOn w:val="DefaultParagraphFont"/>
    <w:link w:val="IntenseQuote"/>
    <w:uiPriority w:val="30"/>
    <w:rsid w:val="00403D84"/>
    <w:rPr>
      <w:i/>
      <w:iCs/>
      <w:color w:val="4F81BD" w:themeColor="accent1"/>
      <w:lang w:val="en-US" w:eastAsia="ja-JP"/>
    </w:rPr>
  </w:style>
  <w:style w:type="paragraph" w:styleId="List">
    <w:name w:val="List"/>
    <w:basedOn w:val="Normal"/>
    <w:uiPriority w:val="99"/>
    <w:semiHidden/>
    <w:unhideWhenUsed/>
    <w:rsid w:val="00403D84"/>
    <w:pPr>
      <w:spacing w:line="240" w:lineRule="auto"/>
      <w:ind w:left="360"/>
      <w:contextualSpacing/>
    </w:pPr>
    <w:rPr>
      <w:lang w:val="en-US" w:eastAsia="ja-JP"/>
    </w:rPr>
  </w:style>
  <w:style w:type="paragraph" w:styleId="List2">
    <w:name w:val="List 2"/>
    <w:basedOn w:val="Normal"/>
    <w:uiPriority w:val="99"/>
    <w:semiHidden/>
    <w:unhideWhenUsed/>
    <w:rsid w:val="00403D84"/>
    <w:pPr>
      <w:spacing w:line="240" w:lineRule="auto"/>
      <w:ind w:left="720"/>
      <w:contextualSpacing/>
    </w:pPr>
    <w:rPr>
      <w:lang w:val="en-US" w:eastAsia="ja-JP"/>
    </w:rPr>
  </w:style>
  <w:style w:type="paragraph" w:styleId="List3">
    <w:name w:val="List 3"/>
    <w:basedOn w:val="Normal"/>
    <w:uiPriority w:val="99"/>
    <w:semiHidden/>
    <w:unhideWhenUsed/>
    <w:rsid w:val="00403D84"/>
    <w:pPr>
      <w:spacing w:line="240" w:lineRule="auto"/>
      <w:ind w:left="1080"/>
      <w:contextualSpacing/>
    </w:pPr>
    <w:rPr>
      <w:lang w:val="en-US" w:eastAsia="ja-JP"/>
    </w:rPr>
  </w:style>
  <w:style w:type="paragraph" w:styleId="List4">
    <w:name w:val="List 4"/>
    <w:basedOn w:val="Normal"/>
    <w:uiPriority w:val="99"/>
    <w:semiHidden/>
    <w:unhideWhenUsed/>
    <w:rsid w:val="00403D84"/>
    <w:pPr>
      <w:spacing w:line="240" w:lineRule="auto"/>
      <w:ind w:left="1440"/>
      <w:contextualSpacing/>
    </w:pPr>
    <w:rPr>
      <w:lang w:val="en-US" w:eastAsia="ja-JP"/>
    </w:rPr>
  </w:style>
  <w:style w:type="paragraph" w:styleId="List5">
    <w:name w:val="List 5"/>
    <w:basedOn w:val="Normal"/>
    <w:uiPriority w:val="99"/>
    <w:semiHidden/>
    <w:unhideWhenUsed/>
    <w:rsid w:val="00403D84"/>
    <w:pPr>
      <w:spacing w:line="240" w:lineRule="auto"/>
      <w:ind w:left="1800"/>
      <w:contextualSpacing/>
    </w:pPr>
    <w:rPr>
      <w:lang w:val="en-US" w:eastAsia="ja-JP"/>
    </w:rPr>
  </w:style>
  <w:style w:type="paragraph" w:styleId="ListBullet">
    <w:name w:val="List Bullet"/>
    <w:basedOn w:val="Normal"/>
    <w:autoRedefine/>
    <w:uiPriority w:val="9"/>
    <w:unhideWhenUsed/>
    <w:qFormat/>
    <w:rsid w:val="00403D84"/>
    <w:pPr>
      <w:numPr>
        <w:numId w:val="3"/>
      </w:numPr>
      <w:spacing w:line="240" w:lineRule="auto"/>
      <w:contextualSpacing/>
    </w:pPr>
    <w:rPr>
      <w:lang w:val="en-US" w:eastAsia="ja-JP"/>
    </w:rPr>
  </w:style>
  <w:style w:type="paragraph" w:styleId="ListBullet2">
    <w:name w:val="List Bullet 2"/>
    <w:basedOn w:val="Normal"/>
    <w:uiPriority w:val="99"/>
    <w:semiHidden/>
    <w:unhideWhenUsed/>
    <w:rsid w:val="00403D84"/>
    <w:pPr>
      <w:numPr>
        <w:numId w:val="4"/>
      </w:numPr>
      <w:spacing w:line="240" w:lineRule="auto"/>
      <w:ind w:firstLine="0"/>
      <w:contextualSpacing/>
    </w:pPr>
    <w:rPr>
      <w:lang w:val="en-US" w:eastAsia="ja-JP"/>
    </w:rPr>
  </w:style>
  <w:style w:type="paragraph" w:styleId="ListBullet3">
    <w:name w:val="List Bullet 3"/>
    <w:basedOn w:val="Normal"/>
    <w:uiPriority w:val="99"/>
    <w:semiHidden/>
    <w:unhideWhenUsed/>
    <w:rsid w:val="00403D84"/>
    <w:pPr>
      <w:numPr>
        <w:numId w:val="5"/>
      </w:numPr>
      <w:spacing w:line="240" w:lineRule="auto"/>
      <w:ind w:firstLine="0"/>
      <w:contextualSpacing/>
    </w:pPr>
    <w:rPr>
      <w:lang w:val="en-US" w:eastAsia="ja-JP"/>
    </w:rPr>
  </w:style>
  <w:style w:type="paragraph" w:styleId="ListBullet4">
    <w:name w:val="List Bullet 4"/>
    <w:basedOn w:val="Normal"/>
    <w:uiPriority w:val="99"/>
    <w:semiHidden/>
    <w:unhideWhenUsed/>
    <w:rsid w:val="00403D84"/>
    <w:pPr>
      <w:numPr>
        <w:numId w:val="6"/>
      </w:numPr>
      <w:spacing w:line="240" w:lineRule="auto"/>
      <w:ind w:firstLine="0"/>
      <w:contextualSpacing/>
    </w:pPr>
    <w:rPr>
      <w:lang w:val="en-US" w:eastAsia="ja-JP"/>
    </w:rPr>
  </w:style>
  <w:style w:type="paragraph" w:styleId="ListBullet5">
    <w:name w:val="List Bullet 5"/>
    <w:basedOn w:val="Normal"/>
    <w:uiPriority w:val="99"/>
    <w:semiHidden/>
    <w:unhideWhenUsed/>
    <w:rsid w:val="00403D84"/>
    <w:pPr>
      <w:numPr>
        <w:numId w:val="7"/>
      </w:numPr>
      <w:spacing w:line="240" w:lineRule="auto"/>
      <w:ind w:firstLine="0"/>
      <w:contextualSpacing/>
    </w:pPr>
    <w:rPr>
      <w:lang w:val="en-US" w:eastAsia="ja-JP"/>
    </w:rPr>
  </w:style>
  <w:style w:type="paragraph" w:styleId="ListContinue">
    <w:name w:val="List Continue"/>
    <w:basedOn w:val="Normal"/>
    <w:uiPriority w:val="99"/>
    <w:semiHidden/>
    <w:unhideWhenUsed/>
    <w:rsid w:val="00403D84"/>
    <w:pPr>
      <w:spacing w:after="120" w:line="240" w:lineRule="auto"/>
      <w:ind w:left="360"/>
      <w:contextualSpacing/>
    </w:pPr>
    <w:rPr>
      <w:lang w:val="en-US" w:eastAsia="ja-JP"/>
    </w:rPr>
  </w:style>
  <w:style w:type="paragraph" w:styleId="ListContinue2">
    <w:name w:val="List Continue 2"/>
    <w:basedOn w:val="Normal"/>
    <w:uiPriority w:val="99"/>
    <w:semiHidden/>
    <w:unhideWhenUsed/>
    <w:rsid w:val="00403D84"/>
    <w:pPr>
      <w:spacing w:after="120" w:line="240" w:lineRule="auto"/>
      <w:ind w:left="720"/>
      <w:contextualSpacing/>
    </w:pPr>
    <w:rPr>
      <w:lang w:val="en-US" w:eastAsia="ja-JP"/>
    </w:rPr>
  </w:style>
  <w:style w:type="paragraph" w:styleId="ListContinue3">
    <w:name w:val="List Continue 3"/>
    <w:basedOn w:val="Normal"/>
    <w:uiPriority w:val="99"/>
    <w:semiHidden/>
    <w:unhideWhenUsed/>
    <w:rsid w:val="00403D84"/>
    <w:pPr>
      <w:spacing w:after="120" w:line="240" w:lineRule="auto"/>
      <w:ind w:left="1080"/>
      <w:contextualSpacing/>
    </w:pPr>
    <w:rPr>
      <w:lang w:val="en-US" w:eastAsia="ja-JP"/>
    </w:rPr>
  </w:style>
  <w:style w:type="paragraph" w:styleId="ListContinue4">
    <w:name w:val="List Continue 4"/>
    <w:basedOn w:val="Normal"/>
    <w:uiPriority w:val="99"/>
    <w:semiHidden/>
    <w:unhideWhenUsed/>
    <w:rsid w:val="00403D84"/>
    <w:pPr>
      <w:spacing w:after="120" w:line="240" w:lineRule="auto"/>
      <w:ind w:left="1440"/>
      <w:contextualSpacing/>
    </w:pPr>
    <w:rPr>
      <w:lang w:val="en-US" w:eastAsia="ja-JP"/>
    </w:rPr>
  </w:style>
  <w:style w:type="paragraph" w:styleId="ListContinue5">
    <w:name w:val="List Continue 5"/>
    <w:basedOn w:val="Normal"/>
    <w:uiPriority w:val="99"/>
    <w:semiHidden/>
    <w:unhideWhenUsed/>
    <w:rsid w:val="00403D84"/>
    <w:pPr>
      <w:spacing w:after="120" w:line="240" w:lineRule="auto"/>
      <w:ind w:left="1800"/>
      <w:contextualSpacing/>
    </w:pPr>
    <w:rPr>
      <w:lang w:val="en-US" w:eastAsia="ja-JP"/>
    </w:rPr>
  </w:style>
  <w:style w:type="paragraph" w:styleId="ListNumber">
    <w:name w:val="List Number"/>
    <w:basedOn w:val="Normal"/>
    <w:autoRedefine/>
    <w:uiPriority w:val="9"/>
    <w:unhideWhenUsed/>
    <w:qFormat/>
    <w:rsid w:val="00403D84"/>
    <w:pPr>
      <w:numPr>
        <w:numId w:val="8"/>
      </w:numPr>
      <w:spacing w:line="240" w:lineRule="auto"/>
      <w:contextualSpacing/>
    </w:pPr>
    <w:rPr>
      <w:lang w:val="en-US" w:eastAsia="ja-JP"/>
    </w:rPr>
  </w:style>
  <w:style w:type="paragraph" w:styleId="ListNumber2">
    <w:name w:val="List Number 2"/>
    <w:basedOn w:val="Normal"/>
    <w:uiPriority w:val="99"/>
    <w:semiHidden/>
    <w:unhideWhenUsed/>
    <w:rsid w:val="00403D84"/>
    <w:pPr>
      <w:numPr>
        <w:numId w:val="9"/>
      </w:numPr>
      <w:spacing w:line="240" w:lineRule="auto"/>
      <w:ind w:firstLine="0"/>
      <w:contextualSpacing/>
    </w:pPr>
    <w:rPr>
      <w:lang w:val="en-US" w:eastAsia="ja-JP"/>
    </w:rPr>
  </w:style>
  <w:style w:type="paragraph" w:styleId="ListNumber3">
    <w:name w:val="List Number 3"/>
    <w:basedOn w:val="Normal"/>
    <w:uiPriority w:val="99"/>
    <w:semiHidden/>
    <w:unhideWhenUsed/>
    <w:rsid w:val="00403D84"/>
    <w:pPr>
      <w:numPr>
        <w:numId w:val="10"/>
      </w:numPr>
      <w:spacing w:line="240" w:lineRule="auto"/>
      <w:ind w:firstLine="0"/>
      <w:contextualSpacing/>
    </w:pPr>
    <w:rPr>
      <w:lang w:val="en-US" w:eastAsia="ja-JP"/>
    </w:rPr>
  </w:style>
  <w:style w:type="paragraph" w:styleId="ListNumber4">
    <w:name w:val="List Number 4"/>
    <w:basedOn w:val="Normal"/>
    <w:uiPriority w:val="99"/>
    <w:semiHidden/>
    <w:unhideWhenUsed/>
    <w:rsid w:val="00403D84"/>
    <w:pPr>
      <w:numPr>
        <w:numId w:val="11"/>
      </w:numPr>
      <w:spacing w:line="240" w:lineRule="auto"/>
      <w:ind w:firstLine="0"/>
      <w:contextualSpacing/>
    </w:pPr>
    <w:rPr>
      <w:lang w:val="en-US" w:eastAsia="ja-JP"/>
    </w:rPr>
  </w:style>
  <w:style w:type="paragraph" w:styleId="ListNumber5">
    <w:name w:val="List Number 5"/>
    <w:basedOn w:val="Normal"/>
    <w:uiPriority w:val="99"/>
    <w:semiHidden/>
    <w:unhideWhenUsed/>
    <w:rsid w:val="00403D84"/>
    <w:pPr>
      <w:numPr>
        <w:numId w:val="12"/>
      </w:numPr>
      <w:spacing w:line="240" w:lineRule="auto"/>
      <w:ind w:firstLine="0"/>
      <w:contextualSpacing/>
    </w:pPr>
    <w:rPr>
      <w:lang w:val="en-US" w:eastAsia="ja-JP"/>
    </w:rPr>
  </w:style>
  <w:style w:type="paragraph" w:styleId="MacroText">
    <w:name w:val="macro"/>
    <w:link w:val="MacroTextChar"/>
    <w:uiPriority w:val="99"/>
    <w:semiHidden/>
    <w:unhideWhenUsed/>
    <w:rsid w:val="00403D84"/>
    <w:pPr>
      <w:tabs>
        <w:tab w:val="left" w:pos="480"/>
        <w:tab w:val="left" w:pos="960"/>
        <w:tab w:val="left" w:pos="1440"/>
        <w:tab w:val="left" w:pos="1920"/>
        <w:tab w:val="left" w:pos="2400"/>
        <w:tab w:val="left" w:pos="2880"/>
        <w:tab w:val="left" w:pos="3360"/>
        <w:tab w:val="left" w:pos="3840"/>
        <w:tab w:val="left" w:pos="4320"/>
      </w:tabs>
      <w:spacing w:line="480" w:lineRule="auto"/>
    </w:pPr>
    <w:rPr>
      <w:rFonts w:ascii="Consolas" w:eastAsiaTheme="minorEastAsia" w:hAnsi="Consolas" w:cs="Consolas"/>
      <w:kern w:val="24"/>
      <w:sz w:val="20"/>
      <w:szCs w:val="20"/>
      <w:lang w:val="en-US" w:eastAsia="ja-JP"/>
    </w:rPr>
  </w:style>
  <w:style w:type="character" w:customStyle="1" w:styleId="MacroTextChar">
    <w:name w:val="Macro Text Char"/>
    <w:basedOn w:val="DefaultParagraphFont"/>
    <w:link w:val="MacroText"/>
    <w:uiPriority w:val="99"/>
    <w:semiHidden/>
    <w:rsid w:val="00403D84"/>
    <w:rPr>
      <w:rFonts w:ascii="Consolas" w:eastAsiaTheme="minorEastAsia" w:hAnsi="Consolas" w:cs="Consolas"/>
      <w:kern w:val="24"/>
      <w:sz w:val="20"/>
      <w:szCs w:val="20"/>
      <w:lang w:val="en-US" w:eastAsia="ja-JP"/>
    </w:rPr>
  </w:style>
  <w:style w:type="paragraph" w:styleId="MessageHeader">
    <w:name w:val="Message Header"/>
    <w:basedOn w:val="Normal"/>
    <w:link w:val="MessageHeaderChar"/>
    <w:uiPriority w:val="99"/>
    <w:semiHidden/>
    <w:unhideWhenUsed/>
    <w:rsid w:val="00403D84"/>
    <w:pPr>
      <w:pBdr>
        <w:top w:val="single" w:sz="6" w:space="1" w:color="auto"/>
        <w:left w:val="single" w:sz="6" w:space="1" w:color="auto"/>
        <w:bottom w:val="single" w:sz="6" w:space="1" w:color="auto"/>
        <w:right w:val="single" w:sz="6" w:space="1" w:color="auto"/>
      </w:pBdr>
      <w:shd w:val="pct20" w:color="auto" w:fill="auto"/>
      <w:spacing w:line="240" w:lineRule="auto"/>
      <w:ind w:left="1080"/>
    </w:pPr>
    <w:rPr>
      <w:rFonts w:asciiTheme="majorHAnsi" w:eastAsiaTheme="majorEastAsia" w:hAnsiTheme="majorHAnsi" w:cstheme="majorBidi"/>
      <w:lang w:val="en-US" w:eastAsia="ja-JP"/>
    </w:rPr>
  </w:style>
  <w:style w:type="character" w:customStyle="1" w:styleId="MessageHeaderChar">
    <w:name w:val="Message Header Char"/>
    <w:basedOn w:val="DefaultParagraphFont"/>
    <w:link w:val="MessageHeader"/>
    <w:uiPriority w:val="99"/>
    <w:semiHidden/>
    <w:rsid w:val="00403D84"/>
    <w:rPr>
      <w:rFonts w:asciiTheme="majorHAnsi" w:eastAsiaTheme="majorEastAsia" w:hAnsiTheme="majorHAnsi" w:cstheme="majorBidi"/>
      <w:shd w:val="pct20" w:color="auto" w:fill="auto"/>
      <w:lang w:val="en-US" w:eastAsia="ja-JP"/>
    </w:rPr>
  </w:style>
  <w:style w:type="paragraph" w:styleId="NormalWeb">
    <w:name w:val="Normal (Web)"/>
    <w:basedOn w:val="Normal"/>
    <w:uiPriority w:val="99"/>
    <w:semiHidden/>
    <w:unhideWhenUsed/>
    <w:rsid w:val="00403D84"/>
    <w:pPr>
      <w:spacing w:line="240" w:lineRule="auto"/>
    </w:pPr>
    <w:rPr>
      <w:lang w:val="en-US" w:eastAsia="ja-JP"/>
    </w:rPr>
  </w:style>
  <w:style w:type="paragraph" w:styleId="NormalIndent">
    <w:name w:val="Normal Indent"/>
    <w:basedOn w:val="Normal"/>
    <w:uiPriority w:val="99"/>
    <w:semiHidden/>
    <w:unhideWhenUsed/>
    <w:rsid w:val="00403D84"/>
    <w:pPr>
      <w:spacing w:line="240" w:lineRule="auto"/>
      <w:ind w:left="720"/>
    </w:pPr>
    <w:rPr>
      <w:lang w:val="en-US" w:eastAsia="ja-JP"/>
    </w:rPr>
  </w:style>
  <w:style w:type="paragraph" w:styleId="NoteHeading">
    <w:name w:val="Note Heading"/>
    <w:basedOn w:val="Normal"/>
    <w:next w:val="Normal"/>
    <w:link w:val="NoteHeadingChar"/>
    <w:uiPriority w:val="99"/>
    <w:semiHidden/>
    <w:unhideWhenUsed/>
    <w:rsid w:val="00403D84"/>
    <w:pPr>
      <w:spacing w:line="240" w:lineRule="auto"/>
    </w:pPr>
    <w:rPr>
      <w:lang w:val="en-US" w:eastAsia="ja-JP"/>
    </w:rPr>
  </w:style>
  <w:style w:type="character" w:customStyle="1" w:styleId="NoteHeadingChar">
    <w:name w:val="Note Heading Char"/>
    <w:basedOn w:val="DefaultParagraphFont"/>
    <w:link w:val="NoteHeading"/>
    <w:uiPriority w:val="99"/>
    <w:semiHidden/>
    <w:rsid w:val="00403D84"/>
    <w:rPr>
      <w:lang w:val="en-US" w:eastAsia="ja-JP"/>
    </w:rPr>
  </w:style>
  <w:style w:type="paragraph" w:styleId="PlainText">
    <w:name w:val="Plain Text"/>
    <w:basedOn w:val="Normal"/>
    <w:link w:val="PlainTextChar"/>
    <w:uiPriority w:val="99"/>
    <w:semiHidden/>
    <w:unhideWhenUsed/>
    <w:rsid w:val="00403D84"/>
    <w:pPr>
      <w:spacing w:line="240" w:lineRule="auto"/>
    </w:pPr>
    <w:rPr>
      <w:rFonts w:ascii="Consolas" w:hAnsi="Consolas" w:cs="Consolas"/>
      <w:sz w:val="21"/>
      <w:szCs w:val="21"/>
      <w:lang w:val="en-US" w:eastAsia="ja-JP"/>
    </w:rPr>
  </w:style>
  <w:style w:type="character" w:customStyle="1" w:styleId="PlainTextChar">
    <w:name w:val="Plain Text Char"/>
    <w:basedOn w:val="DefaultParagraphFont"/>
    <w:link w:val="PlainText"/>
    <w:uiPriority w:val="99"/>
    <w:semiHidden/>
    <w:rsid w:val="00403D84"/>
    <w:rPr>
      <w:rFonts w:ascii="Consolas" w:hAnsi="Consolas" w:cs="Consolas"/>
      <w:sz w:val="21"/>
      <w:szCs w:val="21"/>
      <w:lang w:val="en-US" w:eastAsia="ja-JP"/>
    </w:rPr>
  </w:style>
  <w:style w:type="paragraph" w:styleId="Quote">
    <w:name w:val="Quote"/>
    <w:basedOn w:val="Normal"/>
    <w:next w:val="Normal"/>
    <w:link w:val="QuoteChar"/>
    <w:uiPriority w:val="29"/>
    <w:unhideWhenUsed/>
    <w:qFormat/>
    <w:rsid w:val="00403D84"/>
    <w:pPr>
      <w:spacing w:before="200" w:after="160" w:line="240" w:lineRule="auto"/>
      <w:ind w:left="864" w:right="864"/>
      <w:jc w:val="center"/>
    </w:pPr>
    <w:rPr>
      <w:i/>
      <w:iCs/>
      <w:color w:val="404040" w:themeColor="text1" w:themeTint="BF"/>
      <w:lang w:val="en-US" w:eastAsia="ja-JP"/>
    </w:rPr>
  </w:style>
  <w:style w:type="character" w:customStyle="1" w:styleId="QuoteChar">
    <w:name w:val="Quote Char"/>
    <w:basedOn w:val="DefaultParagraphFont"/>
    <w:link w:val="Quote"/>
    <w:uiPriority w:val="29"/>
    <w:rsid w:val="00403D84"/>
    <w:rPr>
      <w:i/>
      <w:iCs/>
      <w:color w:val="404040" w:themeColor="text1" w:themeTint="BF"/>
      <w:lang w:val="en-US" w:eastAsia="ja-JP"/>
    </w:rPr>
  </w:style>
  <w:style w:type="paragraph" w:styleId="Salutation">
    <w:name w:val="Salutation"/>
    <w:basedOn w:val="Normal"/>
    <w:next w:val="Normal"/>
    <w:link w:val="SalutationChar"/>
    <w:uiPriority w:val="99"/>
    <w:semiHidden/>
    <w:unhideWhenUsed/>
    <w:rsid w:val="00403D84"/>
    <w:pPr>
      <w:spacing w:line="240" w:lineRule="auto"/>
    </w:pPr>
    <w:rPr>
      <w:lang w:val="en-US" w:eastAsia="ja-JP"/>
    </w:rPr>
  </w:style>
  <w:style w:type="character" w:customStyle="1" w:styleId="SalutationChar">
    <w:name w:val="Salutation Char"/>
    <w:basedOn w:val="DefaultParagraphFont"/>
    <w:link w:val="Salutation"/>
    <w:uiPriority w:val="99"/>
    <w:semiHidden/>
    <w:rsid w:val="00403D84"/>
    <w:rPr>
      <w:lang w:val="en-US" w:eastAsia="ja-JP"/>
    </w:rPr>
  </w:style>
  <w:style w:type="paragraph" w:styleId="Signature">
    <w:name w:val="Signature"/>
    <w:basedOn w:val="Normal"/>
    <w:link w:val="SignatureChar"/>
    <w:uiPriority w:val="99"/>
    <w:semiHidden/>
    <w:unhideWhenUsed/>
    <w:rsid w:val="00403D84"/>
    <w:pPr>
      <w:spacing w:line="240" w:lineRule="auto"/>
      <w:ind w:left="4320"/>
    </w:pPr>
    <w:rPr>
      <w:lang w:val="en-US" w:eastAsia="ja-JP"/>
    </w:rPr>
  </w:style>
  <w:style w:type="character" w:customStyle="1" w:styleId="SignatureChar">
    <w:name w:val="Signature Char"/>
    <w:basedOn w:val="DefaultParagraphFont"/>
    <w:link w:val="Signature"/>
    <w:uiPriority w:val="99"/>
    <w:semiHidden/>
    <w:rsid w:val="00403D84"/>
    <w:rPr>
      <w:lang w:val="en-US" w:eastAsia="ja-JP"/>
    </w:rPr>
  </w:style>
  <w:style w:type="paragraph" w:customStyle="1" w:styleId="Title2">
    <w:name w:val="Title 2"/>
    <w:basedOn w:val="Normal"/>
    <w:autoRedefine/>
    <w:uiPriority w:val="1"/>
    <w:qFormat/>
    <w:rsid w:val="00403D84"/>
    <w:pPr>
      <w:spacing w:line="240" w:lineRule="auto"/>
      <w:jc w:val="center"/>
    </w:pPr>
    <w:rPr>
      <w:lang w:val="en-US" w:eastAsia="ja-JP"/>
    </w:rPr>
  </w:style>
  <w:style w:type="paragraph" w:styleId="TableofAuthorities">
    <w:name w:val="table of authorities"/>
    <w:basedOn w:val="Normal"/>
    <w:next w:val="Normal"/>
    <w:uiPriority w:val="99"/>
    <w:semiHidden/>
    <w:unhideWhenUsed/>
    <w:rsid w:val="00403D84"/>
    <w:pPr>
      <w:spacing w:line="240" w:lineRule="auto"/>
      <w:ind w:left="240"/>
    </w:pPr>
    <w:rPr>
      <w:lang w:val="en-US" w:eastAsia="ja-JP"/>
    </w:rPr>
  </w:style>
  <w:style w:type="paragraph" w:styleId="TableofFigures">
    <w:name w:val="table of figures"/>
    <w:basedOn w:val="Normal"/>
    <w:next w:val="Normal"/>
    <w:uiPriority w:val="99"/>
    <w:semiHidden/>
    <w:unhideWhenUsed/>
    <w:rsid w:val="00403D84"/>
    <w:pPr>
      <w:spacing w:line="240" w:lineRule="auto"/>
    </w:pPr>
    <w:rPr>
      <w:lang w:val="en-US" w:eastAsia="ja-JP"/>
    </w:rPr>
  </w:style>
  <w:style w:type="paragraph" w:styleId="TOAHeading">
    <w:name w:val="toa heading"/>
    <w:basedOn w:val="Normal"/>
    <w:next w:val="Normal"/>
    <w:uiPriority w:val="99"/>
    <w:semiHidden/>
    <w:unhideWhenUsed/>
    <w:rsid w:val="00403D84"/>
    <w:pPr>
      <w:spacing w:before="120" w:line="240" w:lineRule="auto"/>
    </w:pPr>
    <w:rPr>
      <w:rFonts w:asciiTheme="majorHAnsi" w:eastAsiaTheme="majorEastAsia" w:hAnsiTheme="majorHAnsi" w:cstheme="majorBidi"/>
      <w:b/>
      <w:bCs/>
      <w:lang w:val="en-US" w:eastAsia="ja-JP"/>
    </w:rPr>
  </w:style>
  <w:style w:type="paragraph" w:styleId="TOC4">
    <w:name w:val="toc 4"/>
    <w:basedOn w:val="Normal"/>
    <w:next w:val="Normal"/>
    <w:autoRedefine/>
    <w:uiPriority w:val="39"/>
    <w:semiHidden/>
    <w:unhideWhenUsed/>
    <w:rsid w:val="00403D84"/>
    <w:pPr>
      <w:spacing w:after="100" w:line="240" w:lineRule="auto"/>
      <w:ind w:left="720"/>
    </w:pPr>
    <w:rPr>
      <w:lang w:val="en-US" w:eastAsia="ja-JP"/>
    </w:rPr>
  </w:style>
  <w:style w:type="paragraph" w:styleId="TOC5">
    <w:name w:val="toc 5"/>
    <w:basedOn w:val="Normal"/>
    <w:next w:val="Normal"/>
    <w:autoRedefine/>
    <w:uiPriority w:val="39"/>
    <w:semiHidden/>
    <w:unhideWhenUsed/>
    <w:rsid w:val="00403D84"/>
    <w:pPr>
      <w:spacing w:after="100" w:line="240" w:lineRule="auto"/>
      <w:ind w:left="960"/>
    </w:pPr>
    <w:rPr>
      <w:lang w:val="en-US" w:eastAsia="ja-JP"/>
    </w:rPr>
  </w:style>
  <w:style w:type="paragraph" w:styleId="TOC6">
    <w:name w:val="toc 6"/>
    <w:basedOn w:val="Normal"/>
    <w:next w:val="Normal"/>
    <w:autoRedefine/>
    <w:uiPriority w:val="39"/>
    <w:semiHidden/>
    <w:unhideWhenUsed/>
    <w:rsid w:val="00403D84"/>
    <w:pPr>
      <w:spacing w:after="100" w:line="240" w:lineRule="auto"/>
      <w:ind w:left="1200"/>
    </w:pPr>
    <w:rPr>
      <w:lang w:val="en-US" w:eastAsia="ja-JP"/>
    </w:rPr>
  </w:style>
  <w:style w:type="paragraph" w:styleId="TOC7">
    <w:name w:val="toc 7"/>
    <w:basedOn w:val="Normal"/>
    <w:next w:val="Normal"/>
    <w:autoRedefine/>
    <w:uiPriority w:val="39"/>
    <w:semiHidden/>
    <w:unhideWhenUsed/>
    <w:rsid w:val="00403D84"/>
    <w:pPr>
      <w:spacing w:after="100" w:line="240" w:lineRule="auto"/>
      <w:ind w:left="1440"/>
    </w:pPr>
    <w:rPr>
      <w:lang w:val="en-US" w:eastAsia="ja-JP"/>
    </w:rPr>
  </w:style>
  <w:style w:type="paragraph" w:styleId="TOC8">
    <w:name w:val="toc 8"/>
    <w:basedOn w:val="Normal"/>
    <w:next w:val="Normal"/>
    <w:autoRedefine/>
    <w:uiPriority w:val="39"/>
    <w:semiHidden/>
    <w:unhideWhenUsed/>
    <w:rsid w:val="00403D84"/>
    <w:pPr>
      <w:spacing w:after="100" w:line="240" w:lineRule="auto"/>
      <w:ind w:left="1680"/>
    </w:pPr>
    <w:rPr>
      <w:lang w:val="en-US" w:eastAsia="ja-JP"/>
    </w:rPr>
  </w:style>
  <w:style w:type="paragraph" w:styleId="TOC9">
    <w:name w:val="toc 9"/>
    <w:basedOn w:val="Normal"/>
    <w:next w:val="Normal"/>
    <w:autoRedefine/>
    <w:uiPriority w:val="39"/>
    <w:semiHidden/>
    <w:unhideWhenUsed/>
    <w:rsid w:val="00403D84"/>
    <w:pPr>
      <w:spacing w:after="100" w:line="240" w:lineRule="auto"/>
      <w:ind w:left="1920"/>
    </w:pPr>
    <w:rPr>
      <w:lang w:val="en-US" w:eastAsia="ja-JP"/>
    </w:rPr>
  </w:style>
  <w:style w:type="character" w:styleId="EndnoteReference">
    <w:name w:val="endnote reference"/>
    <w:basedOn w:val="DefaultParagraphFont"/>
    <w:uiPriority w:val="99"/>
    <w:semiHidden/>
    <w:unhideWhenUsed/>
    <w:rsid w:val="00403D84"/>
    <w:rPr>
      <w:vertAlign w:val="superscript"/>
    </w:rPr>
  </w:style>
  <w:style w:type="character" w:styleId="FootnoteReference">
    <w:name w:val="footnote reference"/>
    <w:basedOn w:val="DefaultParagraphFont"/>
    <w:uiPriority w:val="99"/>
    <w:unhideWhenUsed/>
    <w:qFormat/>
    <w:rsid w:val="00403D84"/>
    <w:rPr>
      <w:vertAlign w:val="superscript"/>
    </w:rPr>
  </w:style>
  <w:style w:type="paragraph" w:styleId="TOCHeading">
    <w:name w:val="TOC Heading"/>
    <w:basedOn w:val="Heading1"/>
    <w:next w:val="Normal"/>
    <w:autoRedefine/>
    <w:uiPriority w:val="38"/>
    <w:unhideWhenUsed/>
    <w:qFormat/>
    <w:rsid w:val="00403D84"/>
    <w:pPr>
      <w:pageBreakBefore/>
      <w:outlineLvl w:val="9"/>
    </w:pPr>
    <w:rPr>
      <w:rFonts w:asciiTheme="majorHAnsi" w:eastAsiaTheme="majorEastAsia" w:hAnsiTheme="majorHAnsi" w:cstheme="majorBidi"/>
      <w:b w:val="0"/>
      <w:szCs w:val="32"/>
      <w:lang w:val="en-US"/>
    </w:rPr>
  </w:style>
  <w:style w:type="paragraph" w:styleId="TOC1">
    <w:name w:val="toc 1"/>
    <w:basedOn w:val="Normal"/>
    <w:next w:val="Normal"/>
    <w:autoRedefine/>
    <w:uiPriority w:val="39"/>
    <w:unhideWhenUsed/>
    <w:rsid w:val="00403D84"/>
    <w:pPr>
      <w:spacing w:after="100" w:line="240" w:lineRule="auto"/>
    </w:pPr>
    <w:rPr>
      <w:lang w:val="en-US" w:eastAsia="ja-JP"/>
    </w:rPr>
  </w:style>
  <w:style w:type="paragraph" w:styleId="TOC2">
    <w:name w:val="toc 2"/>
    <w:basedOn w:val="Normal"/>
    <w:next w:val="Normal"/>
    <w:autoRedefine/>
    <w:uiPriority w:val="39"/>
    <w:unhideWhenUsed/>
    <w:rsid w:val="00403D84"/>
    <w:pPr>
      <w:spacing w:after="100" w:line="240" w:lineRule="auto"/>
      <w:ind w:left="240"/>
    </w:pPr>
    <w:rPr>
      <w:lang w:val="en-US" w:eastAsia="ja-JP"/>
    </w:rPr>
  </w:style>
  <w:style w:type="paragraph" w:styleId="TOC3">
    <w:name w:val="toc 3"/>
    <w:basedOn w:val="Normal"/>
    <w:next w:val="Normal"/>
    <w:autoRedefine/>
    <w:uiPriority w:val="39"/>
    <w:unhideWhenUsed/>
    <w:rsid w:val="00403D84"/>
    <w:pPr>
      <w:spacing w:after="100" w:line="240" w:lineRule="auto"/>
      <w:ind w:left="480"/>
    </w:pPr>
    <w:rPr>
      <w:lang w:val="en-US" w:eastAsia="ja-JP"/>
    </w:rPr>
  </w:style>
  <w:style w:type="character" w:styleId="LineNumber">
    <w:name w:val="line number"/>
    <w:basedOn w:val="DefaultParagraphFont"/>
    <w:uiPriority w:val="99"/>
    <w:semiHidden/>
    <w:unhideWhenUsed/>
    <w:rsid w:val="00802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23916">
      <w:bodyDiv w:val="1"/>
      <w:marLeft w:val="0"/>
      <w:marRight w:val="0"/>
      <w:marTop w:val="0"/>
      <w:marBottom w:val="0"/>
      <w:divBdr>
        <w:top w:val="none" w:sz="0" w:space="0" w:color="auto"/>
        <w:left w:val="none" w:sz="0" w:space="0" w:color="auto"/>
        <w:bottom w:val="none" w:sz="0" w:space="0" w:color="auto"/>
        <w:right w:val="none" w:sz="0" w:space="0" w:color="auto"/>
      </w:divBdr>
      <w:divsChild>
        <w:div w:id="897395108">
          <w:marLeft w:val="480"/>
          <w:marRight w:val="0"/>
          <w:marTop w:val="0"/>
          <w:marBottom w:val="0"/>
          <w:divBdr>
            <w:top w:val="none" w:sz="0" w:space="0" w:color="auto"/>
            <w:left w:val="none" w:sz="0" w:space="0" w:color="auto"/>
            <w:bottom w:val="none" w:sz="0" w:space="0" w:color="auto"/>
            <w:right w:val="none" w:sz="0" w:space="0" w:color="auto"/>
          </w:divBdr>
          <w:divsChild>
            <w:div w:id="58480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23085">
      <w:bodyDiv w:val="1"/>
      <w:marLeft w:val="0"/>
      <w:marRight w:val="0"/>
      <w:marTop w:val="0"/>
      <w:marBottom w:val="0"/>
      <w:divBdr>
        <w:top w:val="none" w:sz="0" w:space="0" w:color="auto"/>
        <w:left w:val="none" w:sz="0" w:space="0" w:color="auto"/>
        <w:bottom w:val="none" w:sz="0" w:space="0" w:color="auto"/>
        <w:right w:val="none" w:sz="0" w:space="0" w:color="auto"/>
      </w:divBdr>
    </w:div>
    <w:div w:id="58096943">
      <w:bodyDiv w:val="1"/>
      <w:marLeft w:val="0"/>
      <w:marRight w:val="0"/>
      <w:marTop w:val="0"/>
      <w:marBottom w:val="0"/>
      <w:divBdr>
        <w:top w:val="none" w:sz="0" w:space="0" w:color="auto"/>
        <w:left w:val="none" w:sz="0" w:space="0" w:color="auto"/>
        <w:bottom w:val="none" w:sz="0" w:space="0" w:color="auto"/>
        <w:right w:val="none" w:sz="0" w:space="0" w:color="auto"/>
      </w:divBdr>
    </w:div>
    <w:div w:id="166093098">
      <w:bodyDiv w:val="1"/>
      <w:marLeft w:val="0"/>
      <w:marRight w:val="0"/>
      <w:marTop w:val="0"/>
      <w:marBottom w:val="0"/>
      <w:divBdr>
        <w:top w:val="none" w:sz="0" w:space="0" w:color="auto"/>
        <w:left w:val="none" w:sz="0" w:space="0" w:color="auto"/>
        <w:bottom w:val="none" w:sz="0" w:space="0" w:color="auto"/>
        <w:right w:val="none" w:sz="0" w:space="0" w:color="auto"/>
      </w:divBdr>
      <w:divsChild>
        <w:div w:id="930503143">
          <w:marLeft w:val="480"/>
          <w:marRight w:val="0"/>
          <w:marTop w:val="0"/>
          <w:marBottom w:val="0"/>
          <w:divBdr>
            <w:top w:val="none" w:sz="0" w:space="0" w:color="auto"/>
            <w:left w:val="none" w:sz="0" w:space="0" w:color="auto"/>
            <w:bottom w:val="none" w:sz="0" w:space="0" w:color="auto"/>
            <w:right w:val="none" w:sz="0" w:space="0" w:color="auto"/>
          </w:divBdr>
          <w:divsChild>
            <w:div w:id="132377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4773">
      <w:bodyDiv w:val="1"/>
      <w:marLeft w:val="0"/>
      <w:marRight w:val="0"/>
      <w:marTop w:val="0"/>
      <w:marBottom w:val="0"/>
      <w:divBdr>
        <w:top w:val="none" w:sz="0" w:space="0" w:color="auto"/>
        <w:left w:val="none" w:sz="0" w:space="0" w:color="auto"/>
        <w:bottom w:val="none" w:sz="0" w:space="0" w:color="auto"/>
        <w:right w:val="none" w:sz="0" w:space="0" w:color="auto"/>
      </w:divBdr>
    </w:div>
    <w:div w:id="200437459">
      <w:bodyDiv w:val="1"/>
      <w:marLeft w:val="0"/>
      <w:marRight w:val="0"/>
      <w:marTop w:val="0"/>
      <w:marBottom w:val="0"/>
      <w:divBdr>
        <w:top w:val="none" w:sz="0" w:space="0" w:color="auto"/>
        <w:left w:val="none" w:sz="0" w:space="0" w:color="auto"/>
        <w:bottom w:val="none" w:sz="0" w:space="0" w:color="auto"/>
        <w:right w:val="none" w:sz="0" w:space="0" w:color="auto"/>
      </w:divBdr>
    </w:div>
    <w:div w:id="245188331">
      <w:bodyDiv w:val="1"/>
      <w:marLeft w:val="0"/>
      <w:marRight w:val="0"/>
      <w:marTop w:val="0"/>
      <w:marBottom w:val="0"/>
      <w:divBdr>
        <w:top w:val="none" w:sz="0" w:space="0" w:color="auto"/>
        <w:left w:val="none" w:sz="0" w:space="0" w:color="auto"/>
        <w:bottom w:val="none" w:sz="0" w:space="0" w:color="auto"/>
        <w:right w:val="none" w:sz="0" w:space="0" w:color="auto"/>
      </w:divBdr>
      <w:divsChild>
        <w:div w:id="1792091759">
          <w:marLeft w:val="0"/>
          <w:marRight w:val="0"/>
          <w:marTop w:val="0"/>
          <w:marBottom w:val="0"/>
          <w:divBdr>
            <w:top w:val="none" w:sz="0" w:space="0" w:color="auto"/>
            <w:left w:val="none" w:sz="0" w:space="0" w:color="auto"/>
            <w:bottom w:val="none" w:sz="0" w:space="0" w:color="auto"/>
            <w:right w:val="none" w:sz="0" w:space="0" w:color="auto"/>
          </w:divBdr>
        </w:div>
      </w:divsChild>
    </w:div>
    <w:div w:id="277571358">
      <w:bodyDiv w:val="1"/>
      <w:marLeft w:val="0"/>
      <w:marRight w:val="0"/>
      <w:marTop w:val="0"/>
      <w:marBottom w:val="0"/>
      <w:divBdr>
        <w:top w:val="none" w:sz="0" w:space="0" w:color="auto"/>
        <w:left w:val="none" w:sz="0" w:space="0" w:color="auto"/>
        <w:bottom w:val="none" w:sz="0" w:space="0" w:color="auto"/>
        <w:right w:val="none" w:sz="0" w:space="0" w:color="auto"/>
      </w:divBdr>
      <w:divsChild>
        <w:div w:id="644773630">
          <w:marLeft w:val="480"/>
          <w:marRight w:val="0"/>
          <w:marTop w:val="0"/>
          <w:marBottom w:val="0"/>
          <w:divBdr>
            <w:top w:val="none" w:sz="0" w:space="0" w:color="auto"/>
            <w:left w:val="none" w:sz="0" w:space="0" w:color="auto"/>
            <w:bottom w:val="none" w:sz="0" w:space="0" w:color="auto"/>
            <w:right w:val="none" w:sz="0" w:space="0" w:color="auto"/>
          </w:divBdr>
          <w:divsChild>
            <w:div w:id="197941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770184">
      <w:bodyDiv w:val="1"/>
      <w:marLeft w:val="0"/>
      <w:marRight w:val="0"/>
      <w:marTop w:val="0"/>
      <w:marBottom w:val="0"/>
      <w:divBdr>
        <w:top w:val="none" w:sz="0" w:space="0" w:color="auto"/>
        <w:left w:val="none" w:sz="0" w:space="0" w:color="auto"/>
        <w:bottom w:val="none" w:sz="0" w:space="0" w:color="auto"/>
        <w:right w:val="none" w:sz="0" w:space="0" w:color="auto"/>
      </w:divBdr>
    </w:div>
    <w:div w:id="285040002">
      <w:bodyDiv w:val="1"/>
      <w:marLeft w:val="0"/>
      <w:marRight w:val="0"/>
      <w:marTop w:val="0"/>
      <w:marBottom w:val="0"/>
      <w:divBdr>
        <w:top w:val="none" w:sz="0" w:space="0" w:color="auto"/>
        <w:left w:val="none" w:sz="0" w:space="0" w:color="auto"/>
        <w:bottom w:val="none" w:sz="0" w:space="0" w:color="auto"/>
        <w:right w:val="none" w:sz="0" w:space="0" w:color="auto"/>
      </w:divBdr>
    </w:div>
    <w:div w:id="302396520">
      <w:bodyDiv w:val="1"/>
      <w:marLeft w:val="0"/>
      <w:marRight w:val="0"/>
      <w:marTop w:val="0"/>
      <w:marBottom w:val="0"/>
      <w:divBdr>
        <w:top w:val="none" w:sz="0" w:space="0" w:color="auto"/>
        <w:left w:val="none" w:sz="0" w:space="0" w:color="auto"/>
        <w:bottom w:val="none" w:sz="0" w:space="0" w:color="auto"/>
        <w:right w:val="none" w:sz="0" w:space="0" w:color="auto"/>
      </w:divBdr>
      <w:divsChild>
        <w:div w:id="561527516">
          <w:marLeft w:val="0"/>
          <w:marRight w:val="0"/>
          <w:marTop w:val="0"/>
          <w:marBottom w:val="0"/>
          <w:divBdr>
            <w:top w:val="none" w:sz="0" w:space="0" w:color="auto"/>
            <w:left w:val="none" w:sz="0" w:space="0" w:color="auto"/>
            <w:bottom w:val="none" w:sz="0" w:space="0" w:color="auto"/>
            <w:right w:val="none" w:sz="0" w:space="0" w:color="auto"/>
          </w:divBdr>
        </w:div>
      </w:divsChild>
    </w:div>
    <w:div w:id="347870835">
      <w:bodyDiv w:val="1"/>
      <w:marLeft w:val="0"/>
      <w:marRight w:val="0"/>
      <w:marTop w:val="0"/>
      <w:marBottom w:val="0"/>
      <w:divBdr>
        <w:top w:val="none" w:sz="0" w:space="0" w:color="auto"/>
        <w:left w:val="none" w:sz="0" w:space="0" w:color="auto"/>
        <w:bottom w:val="none" w:sz="0" w:space="0" w:color="auto"/>
        <w:right w:val="none" w:sz="0" w:space="0" w:color="auto"/>
      </w:divBdr>
    </w:div>
    <w:div w:id="348485694">
      <w:bodyDiv w:val="1"/>
      <w:marLeft w:val="0"/>
      <w:marRight w:val="0"/>
      <w:marTop w:val="0"/>
      <w:marBottom w:val="0"/>
      <w:divBdr>
        <w:top w:val="none" w:sz="0" w:space="0" w:color="auto"/>
        <w:left w:val="none" w:sz="0" w:space="0" w:color="auto"/>
        <w:bottom w:val="none" w:sz="0" w:space="0" w:color="auto"/>
        <w:right w:val="none" w:sz="0" w:space="0" w:color="auto"/>
      </w:divBdr>
      <w:divsChild>
        <w:div w:id="1624070968">
          <w:marLeft w:val="480"/>
          <w:marRight w:val="0"/>
          <w:marTop w:val="0"/>
          <w:marBottom w:val="0"/>
          <w:divBdr>
            <w:top w:val="none" w:sz="0" w:space="0" w:color="auto"/>
            <w:left w:val="none" w:sz="0" w:space="0" w:color="auto"/>
            <w:bottom w:val="none" w:sz="0" w:space="0" w:color="auto"/>
            <w:right w:val="none" w:sz="0" w:space="0" w:color="auto"/>
          </w:divBdr>
          <w:divsChild>
            <w:div w:id="147869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312">
      <w:bodyDiv w:val="1"/>
      <w:marLeft w:val="0"/>
      <w:marRight w:val="0"/>
      <w:marTop w:val="0"/>
      <w:marBottom w:val="0"/>
      <w:divBdr>
        <w:top w:val="none" w:sz="0" w:space="0" w:color="auto"/>
        <w:left w:val="none" w:sz="0" w:space="0" w:color="auto"/>
        <w:bottom w:val="none" w:sz="0" w:space="0" w:color="auto"/>
        <w:right w:val="none" w:sz="0" w:space="0" w:color="auto"/>
      </w:divBdr>
    </w:div>
    <w:div w:id="475950599">
      <w:bodyDiv w:val="1"/>
      <w:marLeft w:val="0"/>
      <w:marRight w:val="0"/>
      <w:marTop w:val="0"/>
      <w:marBottom w:val="0"/>
      <w:divBdr>
        <w:top w:val="none" w:sz="0" w:space="0" w:color="auto"/>
        <w:left w:val="none" w:sz="0" w:space="0" w:color="auto"/>
        <w:bottom w:val="none" w:sz="0" w:space="0" w:color="auto"/>
        <w:right w:val="none" w:sz="0" w:space="0" w:color="auto"/>
      </w:divBdr>
    </w:div>
    <w:div w:id="488592272">
      <w:bodyDiv w:val="1"/>
      <w:marLeft w:val="0"/>
      <w:marRight w:val="0"/>
      <w:marTop w:val="0"/>
      <w:marBottom w:val="0"/>
      <w:divBdr>
        <w:top w:val="none" w:sz="0" w:space="0" w:color="auto"/>
        <w:left w:val="none" w:sz="0" w:space="0" w:color="auto"/>
        <w:bottom w:val="none" w:sz="0" w:space="0" w:color="auto"/>
        <w:right w:val="none" w:sz="0" w:space="0" w:color="auto"/>
      </w:divBdr>
    </w:div>
    <w:div w:id="494760552">
      <w:bodyDiv w:val="1"/>
      <w:marLeft w:val="0"/>
      <w:marRight w:val="0"/>
      <w:marTop w:val="0"/>
      <w:marBottom w:val="0"/>
      <w:divBdr>
        <w:top w:val="none" w:sz="0" w:space="0" w:color="auto"/>
        <w:left w:val="none" w:sz="0" w:space="0" w:color="auto"/>
        <w:bottom w:val="none" w:sz="0" w:space="0" w:color="auto"/>
        <w:right w:val="none" w:sz="0" w:space="0" w:color="auto"/>
      </w:divBdr>
    </w:div>
    <w:div w:id="512033361">
      <w:bodyDiv w:val="1"/>
      <w:marLeft w:val="0"/>
      <w:marRight w:val="0"/>
      <w:marTop w:val="0"/>
      <w:marBottom w:val="0"/>
      <w:divBdr>
        <w:top w:val="none" w:sz="0" w:space="0" w:color="auto"/>
        <w:left w:val="none" w:sz="0" w:space="0" w:color="auto"/>
        <w:bottom w:val="none" w:sz="0" w:space="0" w:color="auto"/>
        <w:right w:val="none" w:sz="0" w:space="0" w:color="auto"/>
      </w:divBdr>
      <w:divsChild>
        <w:div w:id="220232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8903282">
      <w:bodyDiv w:val="1"/>
      <w:marLeft w:val="0"/>
      <w:marRight w:val="0"/>
      <w:marTop w:val="0"/>
      <w:marBottom w:val="0"/>
      <w:divBdr>
        <w:top w:val="none" w:sz="0" w:space="0" w:color="auto"/>
        <w:left w:val="none" w:sz="0" w:space="0" w:color="auto"/>
        <w:bottom w:val="none" w:sz="0" w:space="0" w:color="auto"/>
        <w:right w:val="none" w:sz="0" w:space="0" w:color="auto"/>
      </w:divBdr>
      <w:divsChild>
        <w:div w:id="1188522993">
          <w:marLeft w:val="480"/>
          <w:marRight w:val="0"/>
          <w:marTop w:val="0"/>
          <w:marBottom w:val="0"/>
          <w:divBdr>
            <w:top w:val="none" w:sz="0" w:space="0" w:color="auto"/>
            <w:left w:val="none" w:sz="0" w:space="0" w:color="auto"/>
            <w:bottom w:val="none" w:sz="0" w:space="0" w:color="auto"/>
            <w:right w:val="none" w:sz="0" w:space="0" w:color="auto"/>
          </w:divBdr>
          <w:divsChild>
            <w:div w:id="23594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920290">
      <w:bodyDiv w:val="1"/>
      <w:marLeft w:val="0"/>
      <w:marRight w:val="0"/>
      <w:marTop w:val="0"/>
      <w:marBottom w:val="0"/>
      <w:divBdr>
        <w:top w:val="none" w:sz="0" w:space="0" w:color="auto"/>
        <w:left w:val="none" w:sz="0" w:space="0" w:color="auto"/>
        <w:bottom w:val="none" w:sz="0" w:space="0" w:color="auto"/>
        <w:right w:val="none" w:sz="0" w:space="0" w:color="auto"/>
      </w:divBdr>
      <w:divsChild>
        <w:div w:id="687296478">
          <w:marLeft w:val="480"/>
          <w:marRight w:val="0"/>
          <w:marTop w:val="0"/>
          <w:marBottom w:val="0"/>
          <w:divBdr>
            <w:top w:val="none" w:sz="0" w:space="0" w:color="auto"/>
            <w:left w:val="none" w:sz="0" w:space="0" w:color="auto"/>
            <w:bottom w:val="none" w:sz="0" w:space="0" w:color="auto"/>
            <w:right w:val="none" w:sz="0" w:space="0" w:color="auto"/>
          </w:divBdr>
          <w:divsChild>
            <w:div w:id="87026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93">
      <w:bodyDiv w:val="1"/>
      <w:marLeft w:val="0"/>
      <w:marRight w:val="0"/>
      <w:marTop w:val="0"/>
      <w:marBottom w:val="0"/>
      <w:divBdr>
        <w:top w:val="none" w:sz="0" w:space="0" w:color="auto"/>
        <w:left w:val="none" w:sz="0" w:space="0" w:color="auto"/>
        <w:bottom w:val="none" w:sz="0" w:space="0" w:color="auto"/>
        <w:right w:val="none" w:sz="0" w:space="0" w:color="auto"/>
      </w:divBdr>
      <w:divsChild>
        <w:div w:id="187334045">
          <w:marLeft w:val="480"/>
          <w:marRight w:val="0"/>
          <w:marTop w:val="0"/>
          <w:marBottom w:val="0"/>
          <w:divBdr>
            <w:top w:val="none" w:sz="0" w:space="0" w:color="auto"/>
            <w:left w:val="none" w:sz="0" w:space="0" w:color="auto"/>
            <w:bottom w:val="none" w:sz="0" w:space="0" w:color="auto"/>
            <w:right w:val="none" w:sz="0" w:space="0" w:color="auto"/>
          </w:divBdr>
          <w:divsChild>
            <w:div w:id="142391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043781">
      <w:bodyDiv w:val="1"/>
      <w:marLeft w:val="0"/>
      <w:marRight w:val="0"/>
      <w:marTop w:val="0"/>
      <w:marBottom w:val="0"/>
      <w:divBdr>
        <w:top w:val="none" w:sz="0" w:space="0" w:color="auto"/>
        <w:left w:val="none" w:sz="0" w:space="0" w:color="auto"/>
        <w:bottom w:val="none" w:sz="0" w:space="0" w:color="auto"/>
        <w:right w:val="none" w:sz="0" w:space="0" w:color="auto"/>
      </w:divBdr>
      <w:divsChild>
        <w:div w:id="813180962">
          <w:marLeft w:val="480"/>
          <w:marRight w:val="0"/>
          <w:marTop w:val="0"/>
          <w:marBottom w:val="0"/>
          <w:divBdr>
            <w:top w:val="none" w:sz="0" w:space="0" w:color="auto"/>
            <w:left w:val="none" w:sz="0" w:space="0" w:color="auto"/>
            <w:bottom w:val="none" w:sz="0" w:space="0" w:color="auto"/>
            <w:right w:val="none" w:sz="0" w:space="0" w:color="auto"/>
          </w:divBdr>
          <w:divsChild>
            <w:div w:id="108097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15225">
      <w:bodyDiv w:val="1"/>
      <w:marLeft w:val="0"/>
      <w:marRight w:val="0"/>
      <w:marTop w:val="0"/>
      <w:marBottom w:val="0"/>
      <w:divBdr>
        <w:top w:val="none" w:sz="0" w:space="0" w:color="auto"/>
        <w:left w:val="none" w:sz="0" w:space="0" w:color="auto"/>
        <w:bottom w:val="none" w:sz="0" w:space="0" w:color="auto"/>
        <w:right w:val="none" w:sz="0" w:space="0" w:color="auto"/>
      </w:divBdr>
      <w:divsChild>
        <w:div w:id="11759970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4986068">
      <w:bodyDiv w:val="1"/>
      <w:marLeft w:val="0"/>
      <w:marRight w:val="0"/>
      <w:marTop w:val="0"/>
      <w:marBottom w:val="0"/>
      <w:divBdr>
        <w:top w:val="none" w:sz="0" w:space="0" w:color="auto"/>
        <w:left w:val="none" w:sz="0" w:space="0" w:color="auto"/>
        <w:bottom w:val="none" w:sz="0" w:space="0" w:color="auto"/>
        <w:right w:val="none" w:sz="0" w:space="0" w:color="auto"/>
      </w:divBdr>
      <w:divsChild>
        <w:div w:id="1747603990">
          <w:marLeft w:val="480"/>
          <w:marRight w:val="0"/>
          <w:marTop w:val="0"/>
          <w:marBottom w:val="0"/>
          <w:divBdr>
            <w:top w:val="none" w:sz="0" w:space="0" w:color="auto"/>
            <w:left w:val="none" w:sz="0" w:space="0" w:color="auto"/>
            <w:bottom w:val="none" w:sz="0" w:space="0" w:color="auto"/>
            <w:right w:val="none" w:sz="0" w:space="0" w:color="auto"/>
          </w:divBdr>
          <w:divsChild>
            <w:div w:id="912206070">
              <w:marLeft w:val="0"/>
              <w:marRight w:val="0"/>
              <w:marTop w:val="0"/>
              <w:marBottom w:val="0"/>
              <w:divBdr>
                <w:top w:val="none" w:sz="0" w:space="0" w:color="auto"/>
                <w:left w:val="none" w:sz="0" w:space="0" w:color="auto"/>
                <w:bottom w:val="none" w:sz="0" w:space="0" w:color="auto"/>
                <w:right w:val="none" w:sz="0" w:space="0" w:color="auto"/>
              </w:divBdr>
            </w:div>
            <w:div w:id="157189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65816">
      <w:bodyDiv w:val="1"/>
      <w:marLeft w:val="0"/>
      <w:marRight w:val="0"/>
      <w:marTop w:val="0"/>
      <w:marBottom w:val="0"/>
      <w:divBdr>
        <w:top w:val="none" w:sz="0" w:space="0" w:color="auto"/>
        <w:left w:val="none" w:sz="0" w:space="0" w:color="auto"/>
        <w:bottom w:val="none" w:sz="0" w:space="0" w:color="auto"/>
        <w:right w:val="none" w:sz="0" w:space="0" w:color="auto"/>
      </w:divBdr>
    </w:div>
    <w:div w:id="671566800">
      <w:bodyDiv w:val="1"/>
      <w:marLeft w:val="0"/>
      <w:marRight w:val="0"/>
      <w:marTop w:val="0"/>
      <w:marBottom w:val="0"/>
      <w:divBdr>
        <w:top w:val="none" w:sz="0" w:space="0" w:color="auto"/>
        <w:left w:val="none" w:sz="0" w:space="0" w:color="auto"/>
        <w:bottom w:val="none" w:sz="0" w:space="0" w:color="auto"/>
        <w:right w:val="none" w:sz="0" w:space="0" w:color="auto"/>
      </w:divBdr>
      <w:divsChild>
        <w:div w:id="82461695">
          <w:marLeft w:val="480"/>
          <w:marRight w:val="0"/>
          <w:marTop w:val="0"/>
          <w:marBottom w:val="0"/>
          <w:divBdr>
            <w:top w:val="none" w:sz="0" w:space="0" w:color="auto"/>
            <w:left w:val="none" w:sz="0" w:space="0" w:color="auto"/>
            <w:bottom w:val="none" w:sz="0" w:space="0" w:color="auto"/>
            <w:right w:val="none" w:sz="0" w:space="0" w:color="auto"/>
          </w:divBdr>
          <w:divsChild>
            <w:div w:id="194310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881667">
      <w:bodyDiv w:val="1"/>
      <w:marLeft w:val="0"/>
      <w:marRight w:val="0"/>
      <w:marTop w:val="0"/>
      <w:marBottom w:val="0"/>
      <w:divBdr>
        <w:top w:val="none" w:sz="0" w:space="0" w:color="auto"/>
        <w:left w:val="none" w:sz="0" w:space="0" w:color="auto"/>
        <w:bottom w:val="none" w:sz="0" w:space="0" w:color="auto"/>
        <w:right w:val="none" w:sz="0" w:space="0" w:color="auto"/>
      </w:divBdr>
      <w:divsChild>
        <w:div w:id="720052994">
          <w:marLeft w:val="480"/>
          <w:marRight w:val="0"/>
          <w:marTop w:val="0"/>
          <w:marBottom w:val="0"/>
          <w:divBdr>
            <w:top w:val="none" w:sz="0" w:space="0" w:color="auto"/>
            <w:left w:val="none" w:sz="0" w:space="0" w:color="auto"/>
            <w:bottom w:val="none" w:sz="0" w:space="0" w:color="auto"/>
            <w:right w:val="none" w:sz="0" w:space="0" w:color="auto"/>
          </w:divBdr>
          <w:divsChild>
            <w:div w:id="65545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662556">
      <w:bodyDiv w:val="1"/>
      <w:marLeft w:val="0"/>
      <w:marRight w:val="0"/>
      <w:marTop w:val="0"/>
      <w:marBottom w:val="0"/>
      <w:divBdr>
        <w:top w:val="none" w:sz="0" w:space="0" w:color="auto"/>
        <w:left w:val="none" w:sz="0" w:space="0" w:color="auto"/>
        <w:bottom w:val="none" w:sz="0" w:space="0" w:color="auto"/>
        <w:right w:val="none" w:sz="0" w:space="0" w:color="auto"/>
      </w:divBdr>
    </w:div>
    <w:div w:id="773524250">
      <w:bodyDiv w:val="1"/>
      <w:marLeft w:val="0"/>
      <w:marRight w:val="0"/>
      <w:marTop w:val="0"/>
      <w:marBottom w:val="0"/>
      <w:divBdr>
        <w:top w:val="none" w:sz="0" w:space="0" w:color="auto"/>
        <w:left w:val="none" w:sz="0" w:space="0" w:color="auto"/>
        <w:bottom w:val="none" w:sz="0" w:space="0" w:color="auto"/>
        <w:right w:val="none" w:sz="0" w:space="0" w:color="auto"/>
      </w:divBdr>
    </w:div>
    <w:div w:id="803473468">
      <w:bodyDiv w:val="1"/>
      <w:marLeft w:val="0"/>
      <w:marRight w:val="0"/>
      <w:marTop w:val="0"/>
      <w:marBottom w:val="0"/>
      <w:divBdr>
        <w:top w:val="none" w:sz="0" w:space="0" w:color="auto"/>
        <w:left w:val="none" w:sz="0" w:space="0" w:color="auto"/>
        <w:bottom w:val="none" w:sz="0" w:space="0" w:color="auto"/>
        <w:right w:val="none" w:sz="0" w:space="0" w:color="auto"/>
      </w:divBdr>
      <w:divsChild>
        <w:div w:id="1070540710">
          <w:marLeft w:val="480"/>
          <w:marRight w:val="0"/>
          <w:marTop w:val="0"/>
          <w:marBottom w:val="0"/>
          <w:divBdr>
            <w:top w:val="none" w:sz="0" w:space="0" w:color="auto"/>
            <w:left w:val="none" w:sz="0" w:space="0" w:color="auto"/>
            <w:bottom w:val="none" w:sz="0" w:space="0" w:color="auto"/>
            <w:right w:val="none" w:sz="0" w:space="0" w:color="auto"/>
          </w:divBdr>
          <w:divsChild>
            <w:div w:id="31754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8370">
      <w:bodyDiv w:val="1"/>
      <w:marLeft w:val="0"/>
      <w:marRight w:val="0"/>
      <w:marTop w:val="0"/>
      <w:marBottom w:val="0"/>
      <w:divBdr>
        <w:top w:val="none" w:sz="0" w:space="0" w:color="auto"/>
        <w:left w:val="none" w:sz="0" w:space="0" w:color="auto"/>
        <w:bottom w:val="none" w:sz="0" w:space="0" w:color="auto"/>
        <w:right w:val="none" w:sz="0" w:space="0" w:color="auto"/>
      </w:divBdr>
    </w:div>
    <w:div w:id="853766984">
      <w:bodyDiv w:val="1"/>
      <w:marLeft w:val="0"/>
      <w:marRight w:val="0"/>
      <w:marTop w:val="0"/>
      <w:marBottom w:val="0"/>
      <w:divBdr>
        <w:top w:val="none" w:sz="0" w:space="0" w:color="auto"/>
        <w:left w:val="none" w:sz="0" w:space="0" w:color="auto"/>
        <w:bottom w:val="none" w:sz="0" w:space="0" w:color="auto"/>
        <w:right w:val="none" w:sz="0" w:space="0" w:color="auto"/>
      </w:divBdr>
    </w:div>
    <w:div w:id="858392150">
      <w:bodyDiv w:val="1"/>
      <w:marLeft w:val="0"/>
      <w:marRight w:val="0"/>
      <w:marTop w:val="0"/>
      <w:marBottom w:val="0"/>
      <w:divBdr>
        <w:top w:val="none" w:sz="0" w:space="0" w:color="auto"/>
        <w:left w:val="none" w:sz="0" w:space="0" w:color="auto"/>
        <w:bottom w:val="none" w:sz="0" w:space="0" w:color="auto"/>
        <w:right w:val="none" w:sz="0" w:space="0" w:color="auto"/>
      </w:divBdr>
      <w:divsChild>
        <w:div w:id="1120493009">
          <w:marLeft w:val="480"/>
          <w:marRight w:val="0"/>
          <w:marTop w:val="0"/>
          <w:marBottom w:val="0"/>
          <w:divBdr>
            <w:top w:val="none" w:sz="0" w:space="0" w:color="auto"/>
            <w:left w:val="none" w:sz="0" w:space="0" w:color="auto"/>
            <w:bottom w:val="none" w:sz="0" w:space="0" w:color="auto"/>
            <w:right w:val="none" w:sz="0" w:space="0" w:color="auto"/>
          </w:divBdr>
          <w:divsChild>
            <w:div w:id="28805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591266">
      <w:bodyDiv w:val="1"/>
      <w:marLeft w:val="0"/>
      <w:marRight w:val="0"/>
      <w:marTop w:val="0"/>
      <w:marBottom w:val="0"/>
      <w:divBdr>
        <w:top w:val="none" w:sz="0" w:space="0" w:color="auto"/>
        <w:left w:val="none" w:sz="0" w:space="0" w:color="auto"/>
        <w:bottom w:val="none" w:sz="0" w:space="0" w:color="auto"/>
        <w:right w:val="none" w:sz="0" w:space="0" w:color="auto"/>
      </w:divBdr>
    </w:div>
    <w:div w:id="919097551">
      <w:bodyDiv w:val="1"/>
      <w:marLeft w:val="0"/>
      <w:marRight w:val="0"/>
      <w:marTop w:val="0"/>
      <w:marBottom w:val="0"/>
      <w:divBdr>
        <w:top w:val="none" w:sz="0" w:space="0" w:color="auto"/>
        <w:left w:val="none" w:sz="0" w:space="0" w:color="auto"/>
        <w:bottom w:val="none" w:sz="0" w:space="0" w:color="auto"/>
        <w:right w:val="none" w:sz="0" w:space="0" w:color="auto"/>
      </w:divBdr>
      <w:divsChild>
        <w:div w:id="104428377">
          <w:marLeft w:val="480"/>
          <w:marRight w:val="0"/>
          <w:marTop w:val="0"/>
          <w:marBottom w:val="0"/>
          <w:divBdr>
            <w:top w:val="none" w:sz="0" w:space="0" w:color="auto"/>
            <w:left w:val="none" w:sz="0" w:space="0" w:color="auto"/>
            <w:bottom w:val="none" w:sz="0" w:space="0" w:color="auto"/>
            <w:right w:val="none" w:sz="0" w:space="0" w:color="auto"/>
          </w:divBdr>
          <w:divsChild>
            <w:div w:id="66370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787610">
      <w:bodyDiv w:val="1"/>
      <w:marLeft w:val="0"/>
      <w:marRight w:val="0"/>
      <w:marTop w:val="0"/>
      <w:marBottom w:val="0"/>
      <w:divBdr>
        <w:top w:val="none" w:sz="0" w:space="0" w:color="auto"/>
        <w:left w:val="none" w:sz="0" w:space="0" w:color="auto"/>
        <w:bottom w:val="none" w:sz="0" w:space="0" w:color="auto"/>
        <w:right w:val="none" w:sz="0" w:space="0" w:color="auto"/>
      </w:divBdr>
      <w:divsChild>
        <w:div w:id="45422081">
          <w:marLeft w:val="480"/>
          <w:marRight w:val="0"/>
          <w:marTop w:val="0"/>
          <w:marBottom w:val="0"/>
          <w:divBdr>
            <w:top w:val="none" w:sz="0" w:space="0" w:color="auto"/>
            <w:left w:val="none" w:sz="0" w:space="0" w:color="auto"/>
            <w:bottom w:val="none" w:sz="0" w:space="0" w:color="auto"/>
            <w:right w:val="none" w:sz="0" w:space="0" w:color="auto"/>
          </w:divBdr>
          <w:divsChild>
            <w:div w:id="179440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81377">
      <w:bodyDiv w:val="1"/>
      <w:marLeft w:val="0"/>
      <w:marRight w:val="0"/>
      <w:marTop w:val="0"/>
      <w:marBottom w:val="0"/>
      <w:divBdr>
        <w:top w:val="none" w:sz="0" w:space="0" w:color="auto"/>
        <w:left w:val="none" w:sz="0" w:space="0" w:color="auto"/>
        <w:bottom w:val="none" w:sz="0" w:space="0" w:color="auto"/>
        <w:right w:val="none" w:sz="0" w:space="0" w:color="auto"/>
      </w:divBdr>
      <w:divsChild>
        <w:div w:id="541089954">
          <w:marLeft w:val="480"/>
          <w:marRight w:val="0"/>
          <w:marTop w:val="0"/>
          <w:marBottom w:val="0"/>
          <w:divBdr>
            <w:top w:val="none" w:sz="0" w:space="0" w:color="auto"/>
            <w:left w:val="none" w:sz="0" w:space="0" w:color="auto"/>
            <w:bottom w:val="none" w:sz="0" w:space="0" w:color="auto"/>
            <w:right w:val="none" w:sz="0" w:space="0" w:color="auto"/>
          </w:divBdr>
          <w:divsChild>
            <w:div w:id="909802369">
              <w:marLeft w:val="0"/>
              <w:marRight w:val="0"/>
              <w:marTop w:val="0"/>
              <w:marBottom w:val="0"/>
              <w:divBdr>
                <w:top w:val="none" w:sz="0" w:space="0" w:color="auto"/>
                <w:left w:val="none" w:sz="0" w:space="0" w:color="auto"/>
                <w:bottom w:val="none" w:sz="0" w:space="0" w:color="auto"/>
                <w:right w:val="none" w:sz="0" w:space="0" w:color="auto"/>
              </w:divBdr>
            </w:div>
            <w:div w:id="94473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71264">
      <w:bodyDiv w:val="1"/>
      <w:marLeft w:val="0"/>
      <w:marRight w:val="0"/>
      <w:marTop w:val="0"/>
      <w:marBottom w:val="0"/>
      <w:divBdr>
        <w:top w:val="none" w:sz="0" w:space="0" w:color="auto"/>
        <w:left w:val="none" w:sz="0" w:space="0" w:color="auto"/>
        <w:bottom w:val="none" w:sz="0" w:space="0" w:color="auto"/>
        <w:right w:val="none" w:sz="0" w:space="0" w:color="auto"/>
      </w:divBdr>
    </w:div>
    <w:div w:id="999848515">
      <w:bodyDiv w:val="1"/>
      <w:marLeft w:val="0"/>
      <w:marRight w:val="0"/>
      <w:marTop w:val="0"/>
      <w:marBottom w:val="0"/>
      <w:divBdr>
        <w:top w:val="none" w:sz="0" w:space="0" w:color="auto"/>
        <w:left w:val="none" w:sz="0" w:space="0" w:color="auto"/>
        <w:bottom w:val="none" w:sz="0" w:space="0" w:color="auto"/>
        <w:right w:val="none" w:sz="0" w:space="0" w:color="auto"/>
      </w:divBdr>
    </w:div>
    <w:div w:id="1001931047">
      <w:bodyDiv w:val="1"/>
      <w:marLeft w:val="0"/>
      <w:marRight w:val="0"/>
      <w:marTop w:val="0"/>
      <w:marBottom w:val="0"/>
      <w:divBdr>
        <w:top w:val="none" w:sz="0" w:space="0" w:color="auto"/>
        <w:left w:val="none" w:sz="0" w:space="0" w:color="auto"/>
        <w:bottom w:val="none" w:sz="0" w:space="0" w:color="auto"/>
        <w:right w:val="none" w:sz="0" w:space="0" w:color="auto"/>
      </w:divBdr>
      <w:divsChild>
        <w:div w:id="1258292866">
          <w:marLeft w:val="480"/>
          <w:marRight w:val="0"/>
          <w:marTop w:val="0"/>
          <w:marBottom w:val="0"/>
          <w:divBdr>
            <w:top w:val="none" w:sz="0" w:space="0" w:color="auto"/>
            <w:left w:val="none" w:sz="0" w:space="0" w:color="auto"/>
            <w:bottom w:val="none" w:sz="0" w:space="0" w:color="auto"/>
            <w:right w:val="none" w:sz="0" w:space="0" w:color="auto"/>
          </w:divBdr>
          <w:divsChild>
            <w:div w:id="1329821289">
              <w:marLeft w:val="0"/>
              <w:marRight w:val="0"/>
              <w:marTop w:val="0"/>
              <w:marBottom w:val="0"/>
              <w:divBdr>
                <w:top w:val="none" w:sz="0" w:space="0" w:color="auto"/>
                <w:left w:val="none" w:sz="0" w:space="0" w:color="auto"/>
                <w:bottom w:val="none" w:sz="0" w:space="0" w:color="auto"/>
                <w:right w:val="none" w:sz="0" w:space="0" w:color="auto"/>
              </w:divBdr>
            </w:div>
            <w:div w:id="139519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523">
      <w:bodyDiv w:val="1"/>
      <w:marLeft w:val="0"/>
      <w:marRight w:val="0"/>
      <w:marTop w:val="0"/>
      <w:marBottom w:val="0"/>
      <w:divBdr>
        <w:top w:val="none" w:sz="0" w:space="0" w:color="auto"/>
        <w:left w:val="none" w:sz="0" w:space="0" w:color="auto"/>
        <w:bottom w:val="none" w:sz="0" w:space="0" w:color="auto"/>
        <w:right w:val="none" w:sz="0" w:space="0" w:color="auto"/>
      </w:divBdr>
    </w:div>
    <w:div w:id="1117794887">
      <w:bodyDiv w:val="1"/>
      <w:marLeft w:val="0"/>
      <w:marRight w:val="0"/>
      <w:marTop w:val="0"/>
      <w:marBottom w:val="0"/>
      <w:divBdr>
        <w:top w:val="none" w:sz="0" w:space="0" w:color="auto"/>
        <w:left w:val="none" w:sz="0" w:space="0" w:color="auto"/>
        <w:bottom w:val="none" w:sz="0" w:space="0" w:color="auto"/>
        <w:right w:val="none" w:sz="0" w:space="0" w:color="auto"/>
      </w:divBdr>
      <w:divsChild>
        <w:div w:id="1741323655">
          <w:marLeft w:val="480"/>
          <w:marRight w:val="0"/>
          <w:marTop w:val="0"/>
          <w:marBottom w:val="0"/>
          <w:divBdr>
            <w:top w:val="none" w:sz="0" w:space="0" w:color="auto"/>
            <w:left w:val="none" w:sz="0" w:space="0" w:color="auto"/>
            <w:bottom w:val="none" w:sz="0" w:space="0" w:color="auto"/>
            <w:right w:val="none" w:sz="0" w:space="0" w:color="auto"/>
          </w:divBdr>
          <w:divsChild>
            <w:div w:id="151611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09262">
      <w:bodyDiv w:val="1"/>
      <w:marLeft w:val="0"/>
      <w:marRight w:val="0"/>
      <w:marTop w:val="0"/>
      <w:marBottom w:val="0"/>
      <w:divBdr>
        <w:top w:val="none" w:sz="0" w:space="0" w:color="auto"/>
        <w:left w:val="none" w:sz="0" w:space="0" w:color="auto"/>
        <w:bottom w:val="none" w:sz="0" w:space="0" w:color="auto"/>
        <w:right w:val="none" w:sz="0" w:space="0" w:color="auto"/>
      </w:divBdr>
      <w:divsChild>
        <w:div w:id="1245214807">
          <w:marLeft w:val="480"/>
          <w:marRight w:val="0"/>
          <w:marTop w:val="0"/>
          <w:marBottom w:val="0"/>
          <w:divBdr>
            <w:top w:val="none" w:sz="0" w:space="0" w:color="auto"/>
            <w:left w:val="none" w:sz="0" w:space="0" w:color="auto"/>
            <w:bottom w:val="none" w:sz="0" w:space="0" w:color="auto"/>
            <w:right w:val="none" w:sz="0" w:space="0" w:color="auto"/>
          </w:divBdr>
          <w:divsChild>
            <w:div w:id="609974676">
              <w:marLeft w:val="0"/>
              <w:marRight w:val="0"/>
              <w:marTop w:val="0"/>
              <w:marBottom w:val="0"/>
              <w:divBdr>
                <w:top w:val="none" w:sz="0" w:space="0" w:color="auto"/>
                <w:left w:val="none" w:sz="0" w:space="0" w:color="auto"/>
                <w:bottom w:val="none" w:sz="0" w:space="0" w:color="auto"/>
                <w:right w:val="none" w:sz="0" w:space="0" w:color="auto"/>
              </w:divBdr>
            </w:div>
            <w:div w:id="161097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656816">
      <w:bodyDiv w:val="1"/>
      <w:marLeft w:val="0"/>
      <w:marRight w:val="0"/>
      <w:marTop w:val="0"/>
      <w:marBottom w:val="0"/>
      <w:divBdr>
        <w:top w:val="none" w:sz="0" w:space="0" w:color="auto"/>
        <w:left w:val="none" w:sz="0" w:space="0" w:color="auto"/>
        <w:bottom w:val="none" w:sz="0" w:space="0" w:color="auto"/>
        <w:right w:val="none" w:sz="0" w:space="0" w:color="auto"/>
      </w:divBdr>
    </w:div>
    <w:div w:id="1191214469">
      <w:bodyDiv w:val="1"/>
      <w:marLeft w:val="0"/>
      <w:marRight w:val="0"/>
      <w:marTop w:val="0"/>
      <w:marBottom w:val="0"/>
      <w:divBdr>
        <w:top w:val="none" w:sz="0" w:space="0" w:color="auto"/>
        <w:left w:val="none" w:sz="0" w:space="0" w:color="auto"/>
        <w:bottom w:val="none" w:sz="0" w:space="0" w:color="auto"/>
        <w:right w:val="none" w:sz="0" w:space="0" w:color="auto"/>
      </w:divBdr>
    </w:div>
    <w:div w:id="1194997147">
      <w:bodyDiv w:val="1"/>
      <w:marLeft w:val="0"/>
      <w:marRight w:val="0"/>
      <w:marTop w:val="0"/>
      <w:marBottom w:val="0"/>
      <w:divBdr>
        <w:top w:val="none" w:sz="0" w:space="0" w:color="auto"/>
        <w:left w:val="none" w:sz="0" w:space="0" w:color="auto"/>
        <w:bottom w:val="none" w:sz="0" w:space="0" w:color="auto"/>
        <w:right w:val="none" w:sz="0" w:space="0" w:color="auto"/>
      </w:divBdr>
    </w:div>
    <w:div w:id="1199465362">
      <w:bodyDiv w:val="1"/>
      <w:marLeft w:val="0"/>
      <w:marRight w:val="0"/>
      <w:marTop w:val="0"/>
      <w:marBottom w:val="0"/>
      <w:divBdr>
        <w:top w:val="none" w:sz="0" w:space="0" w:color="auto"/>
        <w:left w:val="none" w:sz="0" w:space="0" w:color="auto"/>
        <w:bottom w:val="none" w:sz="0" w:space="0" w:color="auto"/>
        <w:right w:val="none" w:sz="0" w:space="0" w:color="auto"/>
      </w:divBdr>
    </w:div>
    <w:div w:id="1222713067">
      <w:bodyDiv w:val="1"/>
      <w:marLeft w:val="0"/>
      <w:marRight w:val="0"/>
      <w:marTop w:val="0"/>
      <w:marBottom w:val="0"/>
      <w:divBdr>
        <w:top w:val="none" w:sz="0" w:space="0" w:color="auto"/>
        <w:left w:val="none" w:sz="0" w:space="0" w:color="auto"/>
        <w:bottom w:val="none" w:sz="0" w:space="0" w:color="auto"/>
        <w:right w:val="none" w:sz="0" w:space="0" w:color="auto"/>
      </w:divBdr>
      <w:divsChild>
        <w:div w:id="475070466">
          <w:marLeft w:val="480"/>
          <w:marRight w:val="0"/>
          <w:marTop w:val="0"/>
          <w:marBottom w:val="0"/>
          <w:divBdr>
            <w:top w:val="none" w:sz="0" w:space="0" w:color="auto"/>
            <w:left w:val="none" w:sz="0" w:space="0" w:color="auto"/>
            <w:bottom w:val="none" w:sz="0" w:space="0" w:color="auto"/>
            <w:right w:val="none" w:sz="0" w:space="0" w:color="auto"/>
          </w:divBdr>
          <w:divsChild>
            <w:div w:id="105238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588143">
      <w:bodyDiv w:val="1"/>
      <w:marLeft w:val="0"/>
      <w:marRight w:val="0"/>
      <w:marTop w:val="0"/>
      <w:marBottom w:val="0"/>
      <w:divBdr>
        <w:top w:val="none" w:sz="0" w:space="0" w:color="auto"/>
        <w:left w:val="none" w:sz="0" w:space="0" w:color="auto"/>
        <w:bottom w:val="none" w:sz="0" w:space="0" w:color="auto"/>
        <w:right w:val="none" w:sz="0" w:space="0" w:color="auto"/>
      </w:divBdr>
    </w:div>
    <w:div w:id="1245071958">
      <w:bodyDiv w:val="1"/>
      <w:marLeft w:val="0"/>
      <w:marRight w:val="0"/>
      <w:marTop w:val="0"/>
      <w:marBottom w:val="0"/>
      <w:divBdr>
        <w:top w:val="none" w:sz="0" w:space="0" w:color="auto"/>
        <w:left w:val="none" w:sz="0" w:space="0" w:color="auto"/>
        <w:bottom w:val="none" w:sz="0" w:space="0" w:color="auto"/>
        <w:right w:val="none" w:sz="0" w:space="0" w:color="auto"/>
      </w:divBdr>
    </w:div>
    <w:div w:id="1320764683">
      <w:bodyDiv w:val="1"/>
      <w:marLeft w:val="0"/>
      <w:marRight w:val="0"/>
      <w:marTop w:val="0"/>
      <w:marBottom w:val="0"/>
      <w:divBdr>
        <w:top w:val="none" w:sz="0" w:space="0" w:color="auto"/>
        <w:left w:val="none" w:sz="0" w:space="0" w:color="auto"/>
        <w:bottom w:val="none" w:sz="0" w:space="0" w:color="auto"/>
        <w:right w:val="none" w:sz="0" w:space="0" w:color="auto"/>
      </w:divBdr>
    </w:div>
    <w:div w:id="1347056859">
      <w:bodyDiv w:val="1"/>
      <w:marLeft w:val="0"/>
      <w:marRight w:val="0"/>
      <w:marTop w:val="0"/>
      <w:marBottom w:val="0"/>
      <w:divBdr>
        <w:top w:val="none" w:sz="0" w:space="0" w:color="auto"/>
        <w:left w:val="none" w:sz="0" w:space="0" w:color="auto"/>
        <w:bottom w:val="none" w:sz="0" w:space="0" w:color="auto"/>
        <w:right w:val="none" w:sz="0" w:space="0" w:color="auto"/>
      </w:divBdr>
      <w:divsChild>
        <w:div w:id="1958489567">
          <w:marLeft w:val="0"/>
          <w:marRight w:val="0"/>
          <w:marTop w:val="0"/>
          <w:marBottom w:val="0"/>
          <w:divBdr>
            <w:top w:val="none" w:sz="0" w:space="0" w:color="auto"/>
            <w:left w:val="none" w:sz="0" w:space="0" w:color="auto"/>
            <w:bottom w:val="none" w:sz="0" w:space="0" w:color="auto"/>
            <w:right w:val="none" w:sz="0" w:space="0" w:color="auto"/>
          </w:divBdr>
        </w:div>
      </w:divsChild>
    </w:div>
    <w:div w:id="1373847509">
      <w:bodyDiv w:val="1"/>
      <w:marLeft w:val="0"/>
      <w:marRight w:val="0"/>
      <w:marTop w:val="0"/>
      <w:marBottom w:val="0"/>
      <w:divBdr>
        <w:top w:val="none" w:sz="0" w:space="0" w:color="auto"/>
        <w:left w:val="none" w:sz="0" w:space="0" w:color="auto"/>
        <w:bottom w:val="none" w:sz="0" w:space="0" w:color="auto"/>
        <w:right w:val="none" w:sz="0" w:space="0" w:color="auto"/>
      </w:divBdr>
      <w:divsChild>
        <w:div w:id="715928428">
          <w:marLeft w:val="0"/>
          <w:marRight w:val="0"/>
          <w:marTop w:val="0"/>
          <w:marBottom w:val="0"/>
          <w:divBdr>
            <w:top w:val="none" w:sz="0" w:space="0" w:color="auto"/>
            <w:left w:val="none" w:sz="0" w:space="0" w:color="auto"/>
            <w:bottom w:val="none" w:sz="0" w:space="0" w:color="auto"/>
            <w:right w:val="none" w:sz="0" w:space="0" w:color="auto"/>
          </w:divBdr>
        </w:div>
      </w:divsChild>
    </w:div>
    <w:div w:id="1392846545">
      <w:bodyDiv w:val="1"/>
      <w:marLeft w:val="0"/>
      <w:marRight w:val="0"/>
      <w:marTop w:val="0"/>
      <w:marBottom w:val="0"/>
      <w:divBdr>
        <w:top w:val="none" w:sz="0" w:space="0" w:color="auto"/>
        <w:left w:val="none" w:sz="0" w:space="0" w:color="auto"/>
        <w:bottom w:val="none" w:sz="0" w:space="0" w:color="auto"/>
        <w:right w:val="none" w:sz="0" w:space="0" w:color="auto"/>
      </w:divBdr>
      <w:divsChild>
        <w:div w:id="106972694">
          <w:marLeft w:val="480"/>
          <w:marRight w:val="0"/>
          <w:marTop w:val="0"/>
          <w:marBottom w:val="0"/>
          <w:divBdr>
            <w:top w:val="none" w:sz="0" w:space="0" w:color="auto"/>
            <w:left w:val="none" w:sz="0" w:space="0" w:color="auto"/>
            <w:bottom w:val="none" w:sz="0" w:space="0" w:color="auto"/>
            <w:right w:val="none" w:sz="0" w:space="0" w:color="auto"/>
          </w:divBdr>
          <w:divsChild>
            <w:div w:id="121137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722525">
      <w:bodyDiv w:val="1"/>
      <w:marLeft w:val="0"/>
      <w:marRight w:val="0"/>
      <w:marTop w:val="0"/>
      <w:marBottom w:val="0"/>
      <w:divBdr>
        <w:top w:val="none" w:sz="0" w:space="0" w:color="auto"/>
        <w:left w:val="none" w:sz="0" w:space="0" w:color="auto"/>
        <w:bottom w:val="none" w:sz="0" w:space="0" w:color="auto"/>
        <w:right w:val="none" w:sz="0" w:space="0" w:color="auto"/>
      </w:divBdr>
      <w:divsChild>
        <w:div w:id="1263369297">
          <w:marLeft w:val="480"/>
          <w:marRight w:val="0"/>
          <w:marTop w:val="0"/>
          <w:marBottom w:val="0"/>
          <w:divBdr>
            <w:top w:val="none" w:sz="0" w:space="0" w:color="auto"/>
            <w:left w:val="none" w:sz="0" w:space="0" w:color="auto"/>
            <w:bottom w:val="none" w:sz="0" w:space="0" w:color="auto"/>
            <w:right w:val="none" w:sz="0" w:space="0" w:color="auto"/>
          </w:divBdr>
          <w:divsChild>
            <w:div w:id="126839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876085">
      <w:bodyDiv w:val="1"/>
      <w:marLeft w:val="0"/>
      <w:marRight w:val="0"/>
      <w:marTop w:val="0"/>
      <w:marBottom w:val="0"/>
      <w:divBdr>
        <w:top w:val="none" w:sz="0" w:space="0" w:color="auto"/>
        <w:left w:val="none" w:sz="0" w:space="0" w:color="auto"/>
        <w:bottom w:val="none" w:sz="0" w:space="0" w:color="auto"/>
        <w:right w:val="none" w:sz="0" w:space="0" w:color="auto"/>
      </w:divBdr>
    </w:div>
    <w:div w:id="1485123415">
      <w:bodyDiv w:val="1"/>
      <w:marLeft w:val="0"/>
      <w:marRight w:val="0"/>
      <w:marTop w:val="0"/>
      <w:marBottom w:val="0"/>
      <w:divBdr>
        <w:top w:val="none" w:sz="0" w:space="0" w:color="auto"/>
        <w:left w:val="none" w:sz="0" w:space="0" w:color="auto"/>
        <w:bottom w:val="none" w:sz="0" w:space="0" w:color="auto"/>
        <w:right w:val="none" w:sz="0" w:space="0" w:color="auto"/>
      </w:divBdr>
      <w:divsChild>
        <w:div w:id="185677286">
          <w:marLeft w:val="480"/>
          <w:marRight w:val="0"/>
          <w:marTop w:val="0"/>
          <w:marBottom w:val="0"/>
          <w:divBdr>
            <w:top w:val="none" w:sz="0" w:space="0" w:color="auto"/>
            <w:left w:val="none" w:sz="0" w:space="0" w:color="auto"/>
            <w:bottom w:val="none" w:sz="0" w:space="0" w:color="auto"/>
            <w:right w:val="none" w:sz="0" w:space="0" w:color="auto"/>
          </w:divBdr>
          <w:divsChild>
            <w:div w:id="17453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394720">
      <w:bodyDiv w:val="1"/>
      <w:marLeft w:val="0"/>
      <w:marRight w:val="0"/>
      <w:marTop w:val="0"/>
      <w:marBottom w:val="0"/>
      <w:divBdr>
        <w:top w:val="none" w:sz="0" w:space="0" w:color="auto"/>
        <w:left w:val="none" w:sz="0" w:space="0" w:color="auto"/>
        <w:bottom w:val="none" w:sz="0" w:space="0" w:color="auto"/>
        <w:right w:val="none" w:sz="0" w:space="0" w:color="auto"/>
      </w:divBdr>
    </w:div>
    <w:div w:id="1603534953">
      <w:bodyDiv w:val="1"/>
      <w:marLeft w:val="0"/>
      <w:marRight w:val="0"/>
      <w:marTop w:val="0"/>
      <w:marBottom w:val="0"/>
      <w:divBdr>
        <w:top w:val="none" w:sz="0" w:space="0" w:color="auto"/>
        <w:left w:val="none" w:sz="0" w:space="0" w:color="auto"/>
        <w:bottom w:val="none" w:sz="0" w:space="0" w:color="auto"/>
        <w:right w:val="none" w:sz="0" w:space="0" w:color="auto"/>
      </w:divBdr>
    </w:div>
    <w:div w:id="1611886909">
      <w:bodyDiv w:val="1"/>
      <w:marLeft w:val="0"/>
      <w:marRight w:val="0"/>
      <w:marTop w:val="0"/>
      <w:marBottom w:val="0"/>
      <w:divBdr>
        <w:top w:val="none" w:sz="0" w:space="0" w:color="auto"/>
        <w:left w:val="none" w:sz="0" w:space="0" w:color="auto"/>
        <w:bottom w:val="none" w:sz="0" w:space="0" w:color="auto"/>
        <w:right w:val="none" w:sz="0" w:space="0" w:color="auto"/>
      </w:divBdr>
    </w:div>
    <w:div w:id="1637030653">
      <w:bodyDiv w:val="1"/>
      <w:marLeft w:val="0"/>
      <w:marRight w:val="0"/>
      <w:marTop w:val="0"/>
      <w:marBottom w:val="0"/>
      <w:divBdr>
        <w:top w:val="none" w:sz="0" w:space="0" w:color="auto"/>
        <w:left w:val="none" w:sz="0" w:space="0" w:color="auto"/>
        <w:bottom w:val="none" w:sz="0" w:space="0" w:color="auto"/>
        <w:right w:val="none" w:sz="0" w:space="0" w:color="auto"/>
      </w:divBdr>
    </w:div>
    <w:div w:id="1646540761">
      <w:bodyDiv w:val="1"/>
      <w:marLeft w:val="0"/>
      <w:marRight w:val="0"/>
      <w:marTop w:val="0"/>
      <w:marBottom w:val="0"/>
      <w:divBdr>
        <w:top w:val="none" w:sz="0" w:space="0" w:color="auto"/>
        <w:left w:val="none" w:sz="0" w:space="0" w:color="auto"/>
        <w:bottom w:val="none" w:sz="0" w:space="0" w:color="auto"/>
        <w:right w:val="none" w:sz="0" w:space="0" w:color="auto"/>
      </w:divBdr>
    </w:div>
    <w:div w:id="1683699576">
      <w:bodyDiv w:val="1"/>
      <w:marLeft w:val="0"/>
      <w:marRight w:val="0"/>
      <w:marTop w:val="0"/>
      <w:marBottom w:val="0"/>
      <w:divBdr>
        <w:top w:val="none" w:sz="0" w:space="0" w:color="auto"/>
        <w:left w:val="none" w:sz="0" w:space="0" w:color="auto"/>
        <w:bottom w:val="none" w:sz="0" w:space="0" w:color="auto"/>
        <w:right w:val="none" w:sz="0" w:space="0" w:color="auto"/>
      </w:divBdr>
      <w:divsChild>
        <w:div w:id="584070937">
          <w:marLeft w:val="480"/>
          <w:marRight w:val="0"/>
          <w:marTop w:val="0"/>
          <w:marBottom w:val="0"/>
          <w:divBdr>
            <w:top w:val="none" w:sz="0" w:space="0" w:color="auto"/>
            <w:left w:val="none" w:sz="0" w:space="0" w:color="auto"/>
            <w:bottom w:val="none" w:sz="0" w:space="0" w:color="auto"/>
            <w:right w:val="none" w:sz="0" w:space="0" w:color="auto"/>
          </w:divBdr>
          <w:divsChild>
            <w:div w:id="185148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30176">
      <w:bodyDiv w:val="1"/>
      <w:marLeft w:val="0"/>
      <w:marRight w:val="0"/>
      <w:marTop w:val="0"/>
      <w:marBottom w:val="0"/>
      <w:divBdr>
        <w:top w:val="none" w:sz="0" w:space="0" w:color="auto"/>
        <w:left w:val="none" w:sz="0" w:space="0" w:color="auto"/>
        <w:bottom w:val="none" w:sz="0" w:space="0" w:color="auto"/>
        <w:right w:val="none" w:sz="0" w:space="0" w:color="auto"/>
      </w:divBdr>
    </w:div>
    <w:div w:id="1753621680">
      <w:bodyDiv w:val="1"/>
      <w:marLeft w:val="0"/>
      <w:marRight w:val="0"/>
      <w:marTop w:val="0"/>
      <w:marBottom w:val="0"/>
      <w:divBdr>
        <w:top w:val="none" w:sz="0" w:space="0" w:color="auto"/>
        <w:left w:val="none" w:sz="0" w:space="0" w:color="auto"/>
        <w:bottom w:val="none" w:sz="0" w:space="0" w:color="auto"/>
        <w:right w:val="none" w:sz="0" w:space="0" w:color="auto"/>
      </w:divBdr>
      <w:divsChild>
        <w:div w:id="2086410998">
          <w:marLeft w:val="480"/>
          <w:marRight w:val="0"/>
          <w:marTop w:val="0"/>
          <w:marBottom w:val="0"/>
          <w:divBdr>
            <w:top w:val="none" w:sz="0" w:space="0" w:color="auto"/>
            <w:left w:val="none" w:sz="0" w:space="0" w:color="auto"/>
            <w:bottom w:val="none" w:sz="0" w:space="0" w:color="auto"/>
            <w:right w:val="none" w:sz="0" w:space="0" w:color="auto"/>
          </w:divBdr>
          <w:divsChild>
            <w:div w:id="169083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749125">
      <w:bodyDiv w:val="1"/>
      <w:marLeft w:val="0"/>
      <w:marRight w:val="0"/>
      <w:marTop w:val="0"/>
      <w:marBottom w:val="0"/>
      <w:divBdr>
        <w:top w:val="none" w:sz="0" w:space="0" w:color="auto"/>
        <w:left w:val="none" w:sz="0" w:space="0" w:color="auto"/>
        <w:bottom w:val="none" w:sz="0" w:space="0" w:color="auto"/>
        <w:right w:val="none" w:sz="0" w:space="0" w:color="auto"/>
      </w:divBdr>
    </w:div>
    <w:div w:id="1763183602">
      <w:bodyDiv w:val="1"/>
      <w:marLeft w:val="0"/>
      <w:marRight w:val="0"/>
      <w:marTop w:val="0"/>
      <w:marBottom w:val="0"/>
      <w:divBdr>
        <w:top w:val="none" w:sz="0" w:space="0" w:color="auto"/>
        <w:left w:val="none" w:sz="0" w:space="0" w:color="auto"/>
        <w:bottom w:val="none" w:sz="0" w:space="0" w:color="auto"/>
        <w:right w:val="none" w:sz="0" w:space="0" w:color="auto"/>
      </w:divBdr>
      <w:divsChild>
        <w:div w:id="1537886009">
          <w:marLeft w:val="480"/>
          <w:marRight w:val="0"/>
          <w:marTop w:val="0"/>
          <w:marBottom w:val="0"/>
          <w:divBdr>
            <w:top w:val="none" w:sz="0" w:space="0" w:color="auto"/>
            <w:left w:val="none" w:sz="0" w:space="0" w:color="auto"/>
            <w:bottom w:val="none" w:sz="0" w:space="0" w:color="auto"/>
            <w:right w:val="none" w:sz="0" w:space="0" w:color="auto"/>
          </w:divBdr>
          <w:divsChild>
            <w:div w:id="61984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91744">
      <w:bodyDiv w:val="1"/>
      <w:marLeft w:val="0"/>
      <w:marRight w:val="0"/>
      <w:marTop w:val="0"/>
      <w:marBottom w:val="0"/>
      <w:divBdr>
        <w:top w:val="none" w:sz="0" w:space="0" w:color="auto"/>
        <w:left w:val="none" w:sz="0" w:space="0" w:color="auto"/>
        <w:bottom w:val="none" w:sz="0" w:space="0" w:color="auto"/>
        <w:right w:val="none" w:sz="0" w:space="0" w:color="auto"/>
      </w:divBdr>
      <w:divsChild>
        <w:div w:id="303199083">
          <w:marLeft w:val="480"/>
          <w:marRight w:val="0"/>
          <w:marTop w:val="0"/>
          <w:marBottom w:val="0"/>
          <w:divBdr>
            <w:top w:val="none" w:sz="0" w:space="0" w:color="auto"/>
            <w:left w:val="none" w:sz="0" w:space="0" w:color="auto"/>
            <w:bottom w:val="none" w:sz="0" w:space="0" w:color="auto"/>
            <w:right w:val="none" w:sz="0" w:space="0" w:color="auto"/>
          </w:divBdr>
          <w:divsChild>
            <w:div w:id="4425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17357">
      <w:bodyDiv w:val="1"/>
      <w:marLeft w:val="0"/>
      <w:marRight w:val="0"/>
      <w:marTop w:val="0"/>
      <w:marBottom w:val="0"/>
      <w:divBdr>
        <w:top w:val="none" w:sz="0" w:space="0" w:color="auto"/>
        <w:left w:val="none" w:sz="0" w:space="0" w:color="auto"/>
        <w:bottom w:val="none" w:sz="0" w:space="0" w:color="auto"/>
        <w:right w:val="none" w:sz="0" w:space="0" w:color="auto"/>
      </w:divBdr>
      <w:divsChild>
        <w:div w:id="110590614">
          <w:marLeft w:val="0"/>
          <w:marRight w:val="0"/>
          <w:marTop w:val="0"/>
          <w:marBottom w:val="0"/>
          <w:divBdr>
            <w:top w:val="none" w:sz="0" w:space="0" w:color="auto"/>
            <w:left w:val="none" w:sz="0" w:space="0" w:color="auto"/>
            <w:bottom w:val="none" w:sz="0" w:space="0" w:color="auto"/>
            <w:right w:val="none" w:sz="0" w:space="0" w:color="auto"/>
          </w:divBdr>
        </w:div>
      </w:divsChild>
    </w:div>
    <w:div w:id="1860045004">
      <w:bodyDiv w:val="1"/>
      <w:marLeft w:val="0"/>
      <w:marRight w:val="0"/>
      <w:marTop w:val="0"/>
      <w:marBottom w:val="0"/>
      <w:divBdr>
        <w:top w:val="none" w:sz="0" w:space="0" w:color="auto"/>
        <w:left w:val="none" w:sz="0" w:space="0" w:color="auto"/>
        <w:bottom w:val="none" w:sz="0" w:space="0" w:color="auto"/>
        <w:right w:val="none" w:sz="0" w:space="0" w:color="auto"/>
      </w:divBdr>
    </w:div>
    <w:div w:id="1888175854">
      <w:bodyDiv w:val="1"/>
      <w:marLeft w:val="0"/>
      <w:marRight w:val="0"/>
      <w:marTop w:val="0"/>
      <w:marBottom w:val="0"/>
      <w:divBdr>
        <w:top w:val="none" w:sz="0" w:space="0" w:color="auto"/>
        <w:left w:val="none" w:sz="0" w:space="0" w:color="auto"/>
        <w:bottom w:val="none" w:sz="0" w:space="0" w:color="auto"/>
        <w:right w:val="none" w:sz="0" w:space="0" w:color="auto"/>
      </w:divBdr>
    </w:div>
    <w:div w:id="1894147942">
      <w:bodyDiv w:val="1"/>
      <w:marLeft w:val="0"/>
      <w:marRight w:val="0"/>
      <w:marTop w:val="0"/>
      <w:marBottom w:val="0"/>
      <w:divBdr>
        <w:top w:val="none" w:sz="0" w:space="0" w:color="auto"/>
        <w:left w:val="none" w:sz="0" w:space="0" w:color="auto"/>
        <w:bottom w:val="none" w:sz="0" w:space="0" w:color="auto"/>
        <w:right w:val="none" w:sz="0" w:space="0" w:color="auto"/>
      </w:divBdr>
      <w:divsChild>
        <w:div w:id="200945994">
          <w:marLeft w:val="480"/>
          <w:marRight w:val="0"/>
          <w:marTop w:val="0"/>
          <w:marBottom w:val="0"/>
          <w:divBdr>
            <w:top w:val="none" w:sz="0" w:space="0" w:color="auto"/>
            <w:left w:val="none" w:sz="0" w:space="0" w:color="auto"/>
            <w:bottom w:val="none" w:sz="0" w:space="0" w:color="auto"/>
            <w:right w:val="none" w:sz="0" w:space="0" w:color="auto"/>
          </w:divBdr>
          <w:divsChild>
            <w:div w:id="7558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160678">
      <w:bodyDiv w:val="1"/>
      <w:marLeft w:val="0"/>
      <w:marRight w:val="0"/>
      <w:marTop w:val="0"/>
      <w:marBottom w:val="0"/>
      <w:divBdr>
        <w:top w:val="none" w:sz="0" w:space="0" w:color="auto"/>
        <w:left w:val="none" w:sz="0" w:space="0" w:color="auto"/>
        <w:bottom w:val="none" w:sz="0" w:space="0" w:color="auto"/>
        <w:right w:val="none" w:sz="0" w:space="0" w:color="auto"/>
      </w:divBdr>
    </w:div>
    <w:div w:id="1930041417">
      <w:bodyDiv w:val="1"/>
      <w:marLeft w:val="0"/>
      <w:marRight w:val="0"/>
      <w:marTop w:val="0"/>
      <w:marBottom w:val="0"/>
      <w:divBdr>
        <w:top w:val="none" w:sz="0" w:space="0" w:color="auto"/>
        <w:left w:val="none" w:sz="0" w:space="0" w:color="auto"/>
        <w:bottom w:val="none" w:sz="0" w:space="0" w:color="auto"/>
        <w:right w:val="none" w:sz="0" w:space="0" w:color="auto"/>
      </w:divBdr>
      <w:divsChild>
        <w:div w:id="508104828">
          <w:marLeft w:val="480"/>
          <w:marRight w:val="0"/>
          <w:marTop w:val="0"/>
          <w:marBottom w:val="0"/>
          <w:divBdr>
            <w:top w:val="none" w:sz="0" w:space="0" w:color="auto"/>
            <w:left w:val="none" w:sz="0" w:space="0" w:color="auto"/>
            <w:bottom w:val="none" w:sz="0" w:space="0" w:color="auto"/>
            <w:right w:val="none" w:sz="0" w:space="0" w:color="auto"/>
          </w:divBdr>
          <w:divsChild>
            <w:div w:id="10064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306707">
      <w:bodyDiv w:val="1"/>
      <w:marLeft w:val="0"/>
      <w:marRight w:val="0"/>
      <w:marTop w:val="0"/>
      <w:marBottom w:val="0"/>
      <w:divBdr>
        <w:top w:val="none" w:sz="0" w:space="0" w:color="auto"/>
        <w:left w:val="none" w:sz="0" w:space="0" w:color="auto"/>
        <w:bottom w:val="none" w:sz="0" w:space="0" w:color="auto"/>
        <w:right w:val="none" w:sz="0" w:space="0" w:color="auto"/>
      </w:divBdr>
    </w:div>
    <w:div w:id="1976329844">
      <w:bodyDiv w:val="1"/>
      <w:marLeft w:val="0"/>
      <w:marRight w:val="0"/>
      <w:marTop w:val="0"/>
      <w:marBottom w:val="0"/>
      <w:divBdr>
        <w:top w:val="none" w:sz="0" w:space="0" w:color="auto"/>
        <w:left w:val="none" w:sz="0" w:space="0" w:color="auto"/>
        <w:bottom w:val="none" w:sz="0" w:space="0" w:color="auto"/>
        <w:right w:val="none" w:sz="0" w:space="0" w:color="auto"/>
      </w:divBdr>
    </w:div>
    <w:div w:id="2013295324">
      <w:bodyDiv w:val="1"/>
      <w:marLeft w:val="0"/>
      <w:marRight w:val="0"/>
      <w:marTop w:val="0"/>
      <w:marBottom w:val="0"/>
      <w:divBdr>
        <w:top w:val="none" w:sz="0" w:space="0" w:color="auto"/>
        <w:left w:val="none" w:sz="0" w:space="0" w:color="auto"/>
        <w:bottom w:val="none" w:sz="0" w:space="0" w:color="auto"/>
        <w:right w:val="none" w:sz="0" w:space="0" w:color="auto"/>
      </w:divBdr>
    </w:div>
    <w:div w:id="2013682479">
      <w:bodyDiv w:val="1"/>
      <w:marLeft w:val="0"/>
      <w:marRight w:val="0"/>
      <w:marTop w:val="0"/>
      <w:marBottom w:val="0"/>
      <w:divBdr>
        <w:top w:val="none" w:sz="0" w:space="0" w:color="auto"/>
        <w:left w:val="none" w:sz="0" w:space="0" w:color="auto"/>
        <w:bottom w:val="none" w:sz="0" w:space="0" w:color="auto"/>
        <w:right w:val="none" w:sz="0" w:space="0" w:color="auto"/>
      </w:divBdr>
    </w:div>
    <w:div w:id="2061006891">
      <w:bodyDiv w:val="1"/>
      <w:marLeft w:val="0"/>
      <w:marRight w:val="0"/>
      <w:marTop w:val="0"/>
      <w:marBottom w:val="0"/>
      <w:divBdr>
        <w:top w:val="none" w:sz="0" w:space="0" w:color="auto"/>
        <w:left w:val="none" w:sz="0" w:space="0" w:color="auto"/>
        <w:bottom w:val="none" w:sz="0" w:space="0" w:color="auto"/>
        <w:right w:val="none" w:sz="0" w:space="0" w:color="auto"/>
      </w:divBdr>
    </w:div>
    <w:div w:id="2117434202">
      <w:bodyDiv w:val="1"/>
      <w:marLeft w:val="0"/>
      <w:marRight w:val="0"/>
      <w:marTop w:val="0"/>
      <w:marBottom w:val="0"/>
      <w:divBdr>
        <w:top w:val="none" w:sz="0" w:space="0" w:color="auto"/>
        <w:left w:val="none" w:sz="0" w:space="0" w:color="auto"/>
        <w:bottom w:val="none" w:sz="0" w:space="0" w:color="auto"/>
        <w:right w:val="none" w:sz="0" w:space="0" w:color="auto"/>
      </w:divBdr>
      <w:divsChild>
        <w:div w:id="1051424426">
          <w:marLeft w:val="480"/>
          <w:marRight w:val="0"/>
          <w:marTop w:val="0"/>
          <w:marBottom w:val="0"/>
          <w:divBdr>
            <w:top w:val="none" w:sz="0" w:space="0" w:color="auto"/>
            <w:left w:val="none" w:sz="0" w:space="0" w:color="auto"/>
            <w:bottom w:val="none" w:sz="0" w:space="0" w:color="auto"/>
            <w:right w:val="none" w:sz="0" w:space="0" w:color="auto"/>
          </w:divBdr>
          <w:divsChild>
            <w:div w:id="151827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justman.fyi/PDonETinSPED-Review" TargetMode="Externa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justman.fyi/PDonETinSPED-Review" TargetMode="Externa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s://justman.fyi/PDonETinSPED-Revie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justman.fyi/PDonETinSPED-Review"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3.png"/><Relationship Id="rId10" Type="http://schemas.openxmlformats.org/officeDocument/2006/relationships/hyperlink" Target="https://justman.fyi/PDonETinSPED-Review" TargetMode="External"/><Relationship Id="rId19" Type="http://schemas.openxmlformats.org/officeDocument/2006/relationships/hyperlink" Target="https://justman.fyi/PDonETinSPED-Review" TargetMode="External"/><Relationship Id="rId4" Type="http://schemas.openxmlformats.org/officeDocument/2006/relationships/settings" Target="settings.xml"/><Relationship Id="rId9" Type="http://schemas.openxmlformats.org/officeDocument/2006/relationships/hyperlink" Target="https://justman.fyi/PDonETinSPED-Review" TargetMode="External"/><Relationship Id="rId14" Type="http://schemas.openxmlformats.org/officeDocument/2006/relationships/header" Target="header1.xml"/><Relationship Id="rId22" Type="http://schemas.openxmlformats.org/officeDocument/2006/relationships/hyperlink" Target="https://justman.fyi/techPDpris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eventhEdition.xsl" StyleName="APA7" Version="7"/>
</file>

<file path=customXml/itemProps1.xml><?xml version="1.0" encoding="utf-8"?>
<ds:datastoreItem xmlns:ds="http://schemas.openxmlformats.org/officeDocument/2006/customXml" ds:itemID="{9DE572AF-262B-CC4E-8C48-40FE22010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53838</Words>
  <Characters>306883</Characters>
  <Application>Microsoft Office Word</Application>
  <DocSecurity>0</DocSecurity>
  <Lines>2557</Lines>
  <Paragraphs>720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Justman</dc:creator>
  <cp:keywords/>
  <cp:lastModifiedBy>Louis Justman</cp:lastModifiedBy>
  <cp:revision>2</cp:revision>
  <cp:lastPrinted>2025-05-20T05:47:00Z</cp:lastPrinted>
  <dcterms:created xsi:type="dcterms:W3CDTF">2025-08-01T22:32:00Z</dcterms:created>
  <dcterms:modified xsi:type="dcterms:W3CDTF">2025-08-01T22:32:00Z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id="2gCsh6qB"/&gt;&lt;style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